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/>
      </w:pPr>
      <w:r>
        <w:rPr>
          <w:rFonts w:cs="Arial" w:ascii="Ecofont_Spranq_eco_Sans" w:hAnsi="Ecofont_Spranq_eco_Sans"/>
          <w:b/>
          <w:bCs/>
          <w:sz w:val="20"/>
        </w:rPr>
        <w:t>CONTRATAÇÃO DIRETA</w:t>
      </w:r>
    </w:p>
    <w:p>
      <w:pPr>
        <w:pStyle w:val="Normal"/>
        <w:jc w:val="center"/>
        <w:rPr/>
      </w:pPr>
      <w:r>
        <w:rPr>
          <w:rFonts w:cs="Arial" w:ascii="Ecofont_Spranq_eco_Sans" w:hAnsi="Ecofont_Spranq_eco_Sans"/>
          <w:b/>
          <w:bCs/>
          <w:sz w:val="20"/>
        </w:rPr>
        <w:t xml:space="preserve">ART. 25, </w:t>
      </w:r>
      <w:r>
        <w:rPr>
          <w:rFonts w:cs="Arial" w:ascii="Ecofont_Spranq_eco_Sans" w:hAnsi="Ecofont_Spranq_eco_Sans"/>
          <w:b/>
          <w:bCs/>
          <w:sz w:val="20"/>
        </w:rPr>
        <w:t>INCISO II</w:t>
      </w:r>
      <w:r>
        <w:rPr>
          <w:rFonts w:cs="Arial" w:ascii="Ecofont_Spranq_eco_Sans" w:hAnsi="Ecofont_Spranq_eco_Sans"/>
          <w:b/>
          <w:bCs/>
          <w:sz w:val="20"/>
        </w:rPr>
        <w:t xml:space="preserve"> DA LEI 8.666/93</w:t>
      </w:r>
    </w:p>
    <w:p>
      <w:pPr>
        <w:pStyle w:val="Normal"/>
        <w:jc w:val="center"/>
        <w:rPr/>
      </w:pPr>
      <w:r>
        <w:rPr>
          <w:rFonts w:cs="Arial" w:ascii="Ecofont_Spranq_eco_Sans" w:hAnsi="Ecofont_Spranq_eco_Sans"/>
          <w:b/>
          <w:bCs/>
          <w:sz w:val="20"/>
        </w:rPr>
        <w:t xml:space="preserve">CHECKLIST </w:t>
      </w:r>
      <w:r>
        <w:rPr>
          <w:rFonts w:cs="Arial" w:ascii="Ecofont_Spranq_eco_Sans" w:hAnsi="Ecofont_Spranq_eco_Sans"/>
          <w:b/>
          <w:bCs/>
          <w:sz w:val="20"/>
        </w:rPr>
        <w:t xml:space="preserve"> </w:t>
      </w:r>
    </w:p>
    <w:p>
      <w:pPr>
        <w:pStyle w:val="Normal"/>
        <w:rPr>
          <w:rFonts w:ascii="Ecofont_Spranq_eco_Sans" w:hAnsi="Ecofont_Spranq_eco_Sans" w:cs="Arial"/>
        </w:rPr>
      </w:pPr>
      <w:r>
        <w:rPr>
          <w:rFonts w:cs="Arial" w:ascii="Ecofont_Spranq_eco_Sans" w:hAnsi="Ecofont_Spranq_eco_Sans"/>
          <w:sz w:val="20"/>
        </w:rPr>
        <w:t>Sequência de atos necessária e insuscetível de alteração ou supressão, que deve ser observada na instrução de cada processo de contratação direta, com base nos artigos indicados da Lei n° 8.666/93.</w:t>
      </w:r>
    </w:p>
    <w:p>
      <w:pPr>
        <w:pStyle w:val="Normal"/>
        <w:rPr/>
      </w:pPr>
      <w:r>
        <w:rPr>
          <w:rFonts w:cs="Arial" w:ascii="Ecofont_Spranq_eco_Sans" w:hAnsi="Ecofont_Spranq_eco_Sans"/>
          <w:b/>
          <w:bCs/>
          <w:sz w:val="20"/>
        </w:rPr>
        <w:t>Processo nº:</w:t>
      </w:r>
      <w:r>
        <w:rPr>
          <w:rFonts w:cs="Arial" w:ascii="Ecofont_Spranq_eco_Sans" w:hAnsi="Ecofont_Spranq_eco_Sans"/>
          <w:b w:val="false"/>
          <w:bCs w:val="false"/>
          <w:sz w:val="20"/>
        </w:rPr>
        <w:t xml:space="preserve"> </w:t>
      </w:r>
      <w:r>
        <w:rPr>
          <w:rFonts w:cs="Arial" w:ascii="Ecofont_Spranq_eco_Sans" w:hAnsi="Ecofont_Spranq_eco_Sans"/>
          <w:b w:val="false"/>
          <w:bCs w:val="false"/>
          <w:sz w:val="20"/>
        </w:rPr>
        <w:t>23600.000804.2018-82</w:t>
      </w:r>
    </w:p>
    <w:tbl>
      <w:tblPr>
        <w:tblW w:w="9699" w:type="dxa"/>
        <w:jc w:val="right"/>
        <w:tblInd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5" w:type="dxa"/>
          <w:left w:w="14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6524"/>
        <w:gridCol w:w="903"/>
        <w:gridCol w:w="681"/>
        <w:gridCol w:w="1590"/>
      </w:tblGrid>
      <w:tr>
        <w:trPr/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bookmarkStart w:id="0" w:name="table06"/>
            <w:bookmarkEnd w:id="0"/>
            <w:r>
              <w:rPr>
                <w:rFonts w:cs="Arial" w:ascii="Ecofont_Spranq_eco_Sans" w:hAnsi="Ecofont_Spranq_eco_Sans"/>
                <w:b/>
                <w:bCs/>
                <w:sz w:val="20"/>
              </w:rPr>
              <w:t xml:space="preserve">ATOS ADMINISTRATIVOS E DOCUMENTOS A SEREM VERIFICADOS 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b/>
                <w:bCs/>
                <w:sz w:val="20"/>
              </w:rPr>
              <w:t xml:space="preserve">Sim / Não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Fonts w:cs="Arial" w:ascii="Ecofont_Spranq_eco_Sans" w:hAnsi="Ecofont_Spranq_eco_Sans"/>
                <w:b/>
                <w:bCs/>
                <w:sz w:val="20"/>
              </w:rPr>
              <w:t>FL.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120" w:after="0"/>
              <w:jc w:val="center"/>
              <w:rPr/>
            </w:pPr>
            <w:r>
              <w:rPr>
                <w:rFonts w:cs="Arial" w:ascii="Ecofont_Spranq_eco_Sans" w:hAnsi="Ecofont_Spranq_eco_Sans"/>
                <w:b/>
                <w:bCs/>
                <w:sz w:val="20"/>
              </w:rPr>
              <w:t>Obs</w:t>
            </w:r>
          </w:p>
        </w:tc>
      </w:tr>
      <w:tr>
        <w:trPr>
          <w:trHeight w:val="958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 xml:space="preserve">1. Abertura de processo administrativo devidamente autuado, protocolado e numerado (art. 38, </w:t>
            </w:r>
            <w:r>
              <w:rPr>
                <w:rFonts w:cs="Arial" w:ascii="Ecofont_Spranq_eco_Sans" w:hAnsi="Ecofont_Spranq_eco_Sans"/>
                <w:i/>
                <w:iCs/>
                <w:sz w:val="20"/>
              </w:rPr>
              <w:t>caput</w:t>
            </w:r>
            <w:r>
              <w:rPr>
                <w:rFonts w:cs="Arial" w:ascii="Ecofont_Spranq_eco_Sans" w:hAnsi="Ecofont_Spranq_eco_Sans"/>
                <w:sz w:val="20"/>
              </w:rPr>
              <w:t>, da Lei nº 8.666/93 e Portaria Interministerial n. 1.677/2015 - DOU de 08.10.2015, Seção 1, pg.31 ou da Portaria Normativa nº 1.243, de 21.09.2006, do Ministério da Defesa)?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Sim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106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929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>2. Consta a solicitação/requisição da alienação, da compra, serviço ou obra, elaborada pelo agente ou setor competente? Acórdão 254/2004-Segunda Câmara-TCU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e Aplica</w:t>
            </w:r>
          </w:p>
        </w:tc>
      </w:tr>
      <w:tr>
        <w:trPr>
          <w:trHeight w:val="929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2.1. Há justificativa fundamentada dos quantitativos (bens/serviços) requisitados, tais como demonstrativo de consumo dos exercícios anteriores, relatórios do almoxarifado e/ou outros dados objetivos que demonstrem o dimensionamento adequado da aquisição/contratação?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 A 19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No Termo </w:t>
            </w:r>
            <w:r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 xml:space="preserve">e </w:t>
            </w:r>
            <w:r>
              <w:rPr>
                <w:rFonts w:ascii="Arial" w:hAnsi="Arial"/>
                <w:sz w:val="18"/>
                <w:szCs w:val="18"/>
              </w:rPr>
              <w:t>Referência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929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2.2. Há manifestação sobre práticas e/ou critérios de sustentabilidade economicamente viáveis adotados no procedimento licitatório (TCU, Ac. 2.380/2012-2ª Câmara)?</w:t>
            </w:r>
          </w:p>
          <w:p>
            <w:pPr>
              <w:pStyle w:val="Normal"/>
              <w:rPr/>
            </w:pPr>
            <w:bookmarkStart w:id="1" w:name="_GoBack"/>
            <w:r>
              <w:rPr>
                <w:rFonts w:cs="Arial" w:ascii="Ecofont_Spranq_eco_Sans" w:hAnsi="Ecofont_Spranq_eco_Sans"/>
                <w:sz w:val="20"/>
              </w:rPr>
              <w:t xml:space="preserve">Link: </w:t>
            </w:r>
            <w:hyperlink r:id="rId2">
              <w:bookmarkEnd w:id="1"/>
              <w:r>
                <w:rPr>
                  <w:rStyle w:val="LinkdaInternet"/>
                  <w:rFonts w:cs="Arial" w:ascii="Ecofont_Spranq_eco_Sans" w:hAnsi="Ecofont_Spranq_eco_Sans"/>
                  <w:sz w:val="20"/>
                </w:rPr>
                <w:t>Guia Nacional de Licitações Sustentáveis</w:t>
              </w:r>
            </w:hyperlink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e  Aplica</w:t>
            </w:r>
          </w:p>
        </w:tc>
      </w:tr>
      <w:tr>
        <w:trPr>
          <w:trHeight w:val="1071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240" w:after="0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 xml:space="preserve">3. A autoridade competente justificou a necessidade do objeto da contratação direta (art. 26, </w:t>
            </w:r>
            <w:r>
              <w:rPr>
                <w:rFonts w:cs="Arial" w:ascii="Ecofont_Spranq_eco_Sans" w:hAnsi="Ecofont_Spranq_eco_Sans"/>
                <w:i/>
                <w:iCs/>
                <w:sz w:val="20"/>
              </w:rPr>
              <w:t>caput,</w:t>
            </w:r>
            <w:r>
              <w:rPr>
                <w:rFonts w:cs="Arial" w:ascii="Ecofont_Spranq_eco_Sans" w:hAnsi="Ecofont_Spranq_eco_Sans"/>
                <w:sz w:val="20"/>
              </w:rPr>
              <w:t xml:space="preserve"> Lei n° 8.666/93 e art. 2º</w:t>
            </w:r>
            <w:r>
              <w:rPr>
                <w:rFonts w:cs="Arial" w:ascii="Ecofont_Spranq_eco_Sans" w:hAnsi="Ecofont_Spranq_eco_Sans"/>
                <w:i/>
                <w:iCs/>
                <w:sz w:val="20"/>
              </w:rPr>
              <w:t>, caput</w:t>
            </w:r>
            <w:r>
              <w:rPr>
                <w:rFonts w:cs="Arial" w:ascii="Ecofont_Spranq_eco_Sans" w:hAnsi="Ecofont_Spranq_eco_Sans"/>
                <w:sz w:val="20"/>
              </w:rPr>
              <w:t>, e parágrafo único, VII, da Lei nº 9.784/99)?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Sim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91 A 95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Termo </w:t>
            </w:r>
            <w:r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 xml:space="preserve">e Inexigibilidade </w:t>
            </w:r>
          </w:p>
        </w:tc>
      </w:tr>
      <w:tr>
        <w:trPr>
          <w:trHeight w:val="1215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 xml:space="preserve">3.1 A justificativa contempla a caracterização da situação de dispensa (art. 17, art. 24, III e seguintes da Lei 8.666/93) ou de inexigibilidade de licitação (art. 25, Lei 8.666/93), com os elementos necessários à sua configuração (art. 26, </w:t>
            </w:r>
            <w:r>
              <w:rPr>
                <w:rFonts w:cs="Arial" w:ascii="Ecofont_Spranq_eco_Sans" w:hAnsi="Ecofont_Spranq_eco_Sans"/>
                <w:i/>
                <w:iCs/>
                <w:sz w:val="20"/>
              </w:rPr>
              <w:t xml:space="preserve">caput, </w:t>
            </w:r>
            <w:r>
              <w:rPr>
                <w:rFonts w:cs="Arial" w:ascii="Ecofont_Spranq_eco_Sans" w:hAnsi="Ecofont_Spranq_eco_Sans"/>
                <w:sz w:val="20"/>
              </w:rPr>
              <w:t>e parágrafo 1°, I, Lei n° 8.666/93)?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Sim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91 A 95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Termo </w:t>
            </w:r>
            <w:r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 xml:space="preserve">e Inexigibilidade </w:t>
            </w:r>
          </w:p>
        </w:tc>
      </w:tr>
      <w:tr>
        <w:trPr>
          <w:trHeight w:val="936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b/>
                <w:b/>
                <w:sz w:val="20"/>
                <w:szCs w:val="20"/>
              </w:rPr>
            </w:pPr>
            <w:r>
              <w:rPr>
                <w:rFonts w:cs="Arial" w:ascii="Ecofont_Spranq_eco_Sans" w:hAnsi="Ecofont_Spranq_eco_Sans"/>
                <w:sz w:val="20"/>
                <w:szCs w:val="20"/>
              </w:rPr>
              <w:t xml:space="preserve">4. Existe parecer técnico apto a </w:t>
            </w:r>
            <w:r>
              <w:rPr>
                <w:rFonts w:ascii="Ecofont_Spranq_eco_Sans" w:hAnsi="Ecofont_Spranq_eco_Sans"/>
                <w:sz w:val="20"/>
                <w:szCs w:val="20"/>
              </w:rPr>
              <w:t>justificar e/ou configurar a hipótese legal de contratação direta aplicável ao caso</w:t>
            </w:r>
            <w:r>
              <w:rPr>
                <w:rFonts w:cs="Arial" w:ascii="Ecofont_Spranq_eco_Sans" w:hAnsi="Ecofont_Spranq_eco_Sans"/>
                <w:sz w:val="20"/>
                <w:szCs w:val="20"/>
              </w:rPr>
              <w:t xml:space="preserve"> concreto (art. 38, inc. VI, da Lei nº 8.666/93)?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e  Aplica</w:t>
            </w:r>
          </w:p>
        </w:tc>
      </w:tr>
      <w:tr>
        <w:trPr>
          <w:trHeight w:val="937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5. No caso de aquisição de bens, consta documento contendo as especificações e a quantidade estimada do objeto, observadas as demais diretrizes do art. 15 da Lei 8.666/93?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e  Aplica</w:t>
            </w:r>
          </w:p>
        </w:tc>
      </w:tr>
      <w:tr>
        <w:trPr>
          <w:trHeight w:val="735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>6. Existe declaração de exclusividade expedida pela entidade competente, no caso de inexigibilidade de licitação do art. 25, I, Lei 8.666/93?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Sim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 A 36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991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18"/>
                <w:szCs w:val="18"/>
              </w:rPr>
            </w:pPr>
            <w:r>
              <w:rPr>
                <w:rFonts w:cs="Arial" w:ascii="Ecofont_Spranq_eco_Sans" w:hAnsi="Ecofont_Spranq_eco_Sans"/>
                <w:sz w:val="20"/>
              </w:rPr>
              <w:t>7. A administração averiguou a veracidade do atestado de exclusividade apresentado nos termos do art. 25, I, da Lei n 8.666/93? (Orientação Normativa AGU n° 16, de 1° de abril de 2009)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Sim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91 A 95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Termo </w:t>
            </w:r>
            <w:r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 xml:space="preserve">e Inexigibilidade </w:t>
            </w:r>
          </w:p>
        </w:tc>
      </w:tr>
      <w:tr>
        <w:trPr>
          <w:trHeight w:val="735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>8. Em se tratando de contratação de obra ou serviço, há Projeto Básico (arts. 6°, IX, 7°, § 2°, I, e § 9°, Lei 8.666/93)?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 A 19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>
        <w:trPr>
          <w:trHeight w:val="720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>8.1. No caso do item anterior, consta a aprovação motivada do Projeto Básico pela autoridade competente (art. 7º, § 2º, I da Lei nº 8.666/93)?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Sim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 A 19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240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/>
            </w:pPr>
            <w:r>
              <w:rPr>
                <w:rFonts w:cs="Arial" w:ascii="Ecofont_Spranq_eco_Sans" w:hAnsi="Ecofont_Spranq_eco_Sans"/>
                <w:sz w:val="20"/>
              </w:rPr>
              <w:t>9. Para contratação de obras ou serviços, foi elaborado, se for o caso, o projeto executivo (art. 6°, X e 7° II e § 9°, Lei n° 8.666/93), ou autorizado que seja realizado concomitantemente com a sua execução (art. 7°, §§ 1° e 9°, Lei 8.666/93)?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e Aplica</w:t>
            </w:r>
          </w:p>
        </w:tc>
      </w:tr>
      <w:tr>
        <w:trPr>
          <w:trHeight w:val="1681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 xml:space="preserve">10. Em sendo objeto da contratação direta, obra ou serviço, existe orçamento detalhado em planilhas que expresse a composição de todos os seus custos unitários baseado em pesquisa de preços praticados no mercado do ramo do objeto da contratação (art. 7º, § 2º, II e art. 15, XII, “a”, IN/SLTI 02/2008), assim como a respectiva pesquisa de preços realizada (art. 43, IV da Lei nº 8.666/93 e art. 15, XII, “b”, IN/SLTI 02/2008 e IN/SLTI 05/2014)? 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e Aplica</w:t>
            </w:r>
          </w:p>
        </w:tc>
      </w:tr>
      <w:tr>
        <w:trPr>
          <w:trHeight w:val="781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  <w:szCs w:val="20"/>
              </w:rPr>
              <w:t>10.1 No caso de compras, consta a pesquisa de preços praticados pelo mercado do ramo do objeto da contratação (art.</w:t>
            </w:r>
            <w:r>
              <w:rPr>
                <w:rFonts w:cs="Arial" w:ascii="Ecofont_Spranq_eco_Sans" w:hAnsi="Ecofont_Spranq_eco_Sans"/>
                <w:sz w:val="20"/>
              </w:rPr>
              <w:t xml:space="preserve"> 15, III, Lei nº 8.666/93 e IN 05/2014)</w:t>
            </w:r>
            <w:r>
              <w:rPr>
                <w:rFonts w:cs="Arial" w:ascii="Ecofont_Spranq_eco_Sans" w:hAnsi="Ecofont_Spranq_eco_Sans"/>
                <w:sz w:val="20"/>
                <w:szCs w:val="20"/>
              </w:rPr>
              <w:t>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e Aplica</w:t>
            </w:r>
          </w:p>
        </w:tc>
      </w:tr>
      <w:tr>
        <w:trPr>
          <w:trHeight w:val="781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  <w:szCs w:val="20"/>
              </w:rPr>
            </w:pPr>
            <w:r>
              <w:rPr>
                <w:rFonts w:cs="Arial" w:ascii="Ecofont_Spranq_eco_Sans" w:hAnsi="Ecofont_Spranq_eco_Sans"/>
                <w:sz w:val="20"/>
                <w:szCs w:val="20"/>
              </w:rPr>
              <w:t>10.2 Quando da utilização de método de pesquisa diverso do disposto no §2º do art. 2º da IN/SLTI 05/2015, foi tal situação justificada? (art. 2º, § 3º da IN/SLTI 05/2014)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e Aplica</w:t>
            </w:r>
          </w:p>
        </w:tc>
      </w:tr>
      <w:tr>
        <w:trPr>
          <w:trHeight w:val="781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  <w:szCs w:val="20"/>
                <w:vertAlign w:val="subscript"/>
              </w:rPr>
            </w:pPr>
            <w:r>
              <w:rPr>
                <w:rFonts w:cs="Arial" w:ascii="Ecofont_Spranq_eco_Sans" w:hAnsi="Ecofont_Spranq_eco_Sans"/>
                <w:sz w:val="20"/>
                <w:szCs w:val="20"/>
              </w:rPr>
              <w:t>10.3 No caso de pesquisa com menos de três preços/fornecedores, foi apresentada justificativa? (art. 2º, § 5º da IN/SLTI 05/2014)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e Aplica</w:t>
            </w:r>
          </w:p>
        </w:tc>
      </w:tr>
      <w:tr>
        <w:trPr>
          <w:trHeight w:val="735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>11. Existe justificativa quanto à aceitação do preço ofertado pela futura contratada (parágrafo único, III, art. 26, Lei n° 8.666/93)?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Sim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FLS. 38 A 41  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952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12. Foram indicadas as razões de escolha do adquirente do bem, do executante da obra, do prestador do serviço ou do fornecedor do bem (parágrafo único, II, art. 26, Lei 8.666/93)?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Sim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91 A 95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Termo </w:t>
            </w:r>
            <w:r>
              <w:rPr>
                <w:rFonts w:ascii="Arial" w:hAnsi="Arial"/>
                <w:sz w:val="18"/>
                <w:szCs w:val="18"/>
              </w:rPr>
              <w:t>d</w:t>
            </w:r>
            <w:r>
              <w:rPr>
                <w:rFonts w:ascii="Arial" w:hAnsi="Arial"/>
                <w:sz w:val="18"/>
                <w:szCs w:val="18"/>
              </w:rPr>
              <w:t xml:space="preserve">e Inexigibilidade </w:t>
            </w:r>
          </w:p>
        </w:tc>
      </w:tr>
      <w:tr>
        <w:trPr>
          <w:trHeight w:val="802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13. Em face do valor do objeto, as participantes são microempresas, empresas de pequeno porte e sociedades cooperativas (art. 48, I, da LC nº 123/06, art. 6º do Decreto nº 8.538/15 e art. 34 da Lei nº 11.488/07)?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e Aplica</w:t>
            </w:r>
          </w:p>
        </w:tc>
      </w:tr>
      <w:tr>
        <w:trPr>
          <w:trHeight w:val="802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13.1 Incide uma das exceções previstas no art. 10 do Decreto nº 8.538/15, devidamente justificada, a afastar a exclusividade?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>
              <w:rPr>
                <w:rFonts w:ascii="Arial" w:hAnsi="Arial"/>
                <w:sz w:val="18"/>
                <w:szCs w:val="18"/>
              </w:rPr>
              <w:t>e Aplica</w:t>
            </w:r>
          </w:p>
        </w:tc>
      </w:tr>
      <w:tr>
        <w:trPr>
          <w:trHeight w:val="802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14. Foram observados os dispositivos legais que dispõem sobre a margem de preferência? (Decretos ns 7546/2011 e 8538/2015 e outros)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Não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se Aplica</w:t>
            </w:r>
          </w:p>
        </w:tc>
      </w:tr>
      <w:tr>
        <w:trPr>
          <w:trHeight w:val="802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15. Há previsão de recursos orçamentários, com indicação das respectivas rubricas (arts. 7º, § 2º, III, 14 e 38, caput, da Lei nº 8.666/93)?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ascii="Ecofont_Spranq_eco_Sans" w:hAnsi="Ecofont_Spranq_eco_Sans"/>
              </w:rPr>
              <w:t xml:space="preserve">Sim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ascii="Ecofont_Spranq_eco_Sans" w:hAnsi="Ecofont_Spranq_eco_Sans"/>
              </w:rPr>
              <w:t>89 e 90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/>
            </w:r>
          </w:p>
        </w:tc>
      </w:tr>
      <w:tr>
        <w:trPr>
          <w:trHeight w:val="1257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 xml:space="preserve">15.1 Se for o caso, constam a estimativa do impacto orçamentário financeiro da despesa prevista no art. 16, inc. I da LC 101/2000 e a declaração prevista no art. 16, II do mesmo diploma na hipótese da despesa incidir no </w:t>
            </w:r>
            <w:r>
              <w:rPr>
                <w:rFonts w:cs="Arial" w:ascii="Ecofont_Spranq_eco_Sans" w:hAnsi="Ecofont_Spranq_eco_Sans"/>
                <w:i/>
                <w:sz w:val="20"/>
              </w:rPr>
              <w:t>caput</w:t>
            </w:r>
            <w:r>
              <w:rPr>
                <w:rFonts w:cs="Arial" w:ascii="Ecofont_Spranq_eco_Sans" w:hAnsi="Ecofont_Spranq_eco_Sans"/>
                <w:sz w:val="20"/>
              </w:rPr>
              <w:t xml:space="preserve"> do art. 16?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ascii="Ecofont_Spranq_eco_Sans" w:hAnsi="Ecofont_Spranq_eco_Sans"/>
              </w:rPr>
              <w:t xml:space="preserve">Sim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ascii="Ecofont_Spranq_eco_Sans" w:hAnsi="Ecofont_Spranq_eco_Sans"/>
              </w:rPr>
              <w:t>89 e 90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ascii="Ecofont_Spranq_eco_Sans" w:hAnsi="Ecofont_Spranq_eco_Sans"/>
              </w:rPr>
            </w:r>
          </w:p>
        </w:tc>
      </w:tr>
      <w:tr>
        <w:trPr>
          <w:trHeight w:val="3847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16. Constam as seguintes comprovações/declarações: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a) de regularidade fiscal federal (art. 193, Lei 5.172/66);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b) de regularidade com a Seguridade Social (INSS - art. 195, §3°, CF 1988);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c) de regularidade com o Fundo de Garantia por Tempo de Serviço (FGTS – art. 2°, Lei 9.012/95);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d) de consulta ao CADIN (inciso III do art. 6º da Lei nº 10.522/02, STF, ADI n. 1454/DF);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e) de regularidade trabalhista (Lei 12.440/11);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f) declaração de cumprimento aos termos da Lei 9.854/99; e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 xml:space="preserve">g) verificação de eventual proibição para contratar com a Administração? </w:t>
            </w:r>
          </w:p>
          <w:p>
            <w:pPr>
              <w:pStyle w:val="Normal"/>
              <w:rPr>
                <w:rFonts w:ascii="Ecofont_Spranq_eco_Sans" w:hAnsi="Ecofont_Spranq_eco_Sans" w:cs="Arial"/>
                <w:b/>
                <w:b/>
                <w:sz w:val="20"/>
              </w:rPr>
            </w:pPr>
            <w:r>
              <w:rPr>
                <w:rFonts w:cs="Arial" w:ascii="Ecofont_Spranq_eco_Sans" w:hAnsi="Ecofont_Spranq_eco_Sans"/>
                <w:b/>
                <w:sz w:val="20"/>
              </w:rPr>
              <w:t xml:space="preserve">São sistemas de consulta de registro de penalidades: 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(a) Cadastro Nacional de Empresas Inidôneas e Suspensas – CEIS (http://www.portaltransparencia.gov.br);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 xml:space="preserve">(b) Lista de Inidôneos do Tribunal de Contas da União (http://portal2.tcu.gov.br); 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(c) Sistema de Cadastro Unificado de Fornecedores – SICAF;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(d) Cadastro Informativo de créditos não quitados do setor público federal - CADIN; e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(d) Conselho Nacional de Justiça - CNJ (http://www.cnj.jus.br).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ascii="Ecofont_Spranq_eco_Sans" w:hAnsi="Ecofont_Spranq_eco_Sans"/>
              </w:rPr>
              <w:t xml:space="preserve">Sim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ascii="Ecofont_Spranq_eco_Sans" w:hAnsi="Ecofont_Spranq_eco_Sans"/>
              </w:rPr>
              <w:t xml:space="preserve">Fls. </w:t>
            </w:r>
            <w:r>
              <w:rPr>
                <w:rFonts w:ascii="Ecofont_Spranq_eco_Sans" w:hAnsi="Ecofont_Spranq_eco_Sans"/>
              </w:rPr>
              <w:t>42 51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>17. A contratação direta foi autorizada motivadamente pela autoridade competente (art. 50, IV, Lei n° 9.784/99)?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ascii="Ecofont_Spranq_eco_Sans" w:hAnsi="Ecofont_Spranq_eco_Sans"/>
              </w:rPr>
              <w:t xml:space="preserve">Sim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ascii="Ecofont_Spranq_eco_Sans" w:hAnsi="Ecofont_Spranq_eco_Sans"/>
              </w:rPr>
              <w:t>fl. 107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>18. Foi juntada a minuta de termo de contrato, se for o caso.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ascii="Ecofont_Spranq_eco_Sans" w:hAnsi="Ecofont_Spranq_eco_Sans"/>
              </w:rPr>
              <w:t xml:space="preserve">Sim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ascii="Ecofont_Spranq_eco_Sans" w:hAnsi="Ecofont_Spranq_eco_Sans"/>
              </w:rPr>
              <w:t>Fls. 108 a 111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 xml:space="preserve">17. Foi utilizado o modelo de contrato disponibilizado pela AGU? </w:t>
            </w:r>
          </w:p>
          <w:p>
            <w:pPr>
              <w:pStyle w:val="Normal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cs="Arial" w:ascii="Ecofont_Spranq_eco_Sans" w:hAnsi="Ecofont_Spranq_eco_Sans"/>
                <w:sz w:val="20"/>
              </w:rPr>
              <w:t>17.1  Eventuais alterações foram destacadas no texto, e se necessário, explicadas?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ascii="Ecofont_Spranq_eco_Sans" w:hAnsi="Ecofont_Spranq_eco_Sans"/>
              </w:rPr>
              <w:t xml:space="preserve">Sim </w:t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ascii="Ecofont_Spranq_eco_Sans" w:hAnsi="Ecofont_Spranq_eco_Sans"/>
              </w:rPr>
              <w:t>Fls. 112 a 120</w:t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ascii="Ecofont_Spranq_eco_Sans" w:hAnsi="Ecofont_Spranq_eco_Sans"/>
              </w:rPr>
              <w:t xml:space="preserve">Certidão </w:t>
            </w:r>
          </w:p>
        </w:tc>
      </w:tr>
      <w:tr>
        <w:trPr/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948A54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>
                <w:rFonts w:ascii="Ecofont_Spranq_eco_Sans" w:hAnsi="Ecofont_Spranq_eco_Sans"/>
              </w:rPr>
              <w:t> 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948A54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/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948A54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/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color="auto" w:fill="948A54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/>
            </w:r>
          </w:p>
        </w:tc>
      </w:tr>
      <w:tr>
        <w:trPr>
          <w:trHeight w:val="705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>18. Análise pela assessoria jurídica (art. 38, inciso VI e parágrafo único, da Lei nº 8.666/93).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/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/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/>
            </w:r>
          </w:p>
        </w:tc>
      </w:tr>
      <w:tr>
        <w:trPr>
          <w:trHeight w:val="1220" w:hRule="atLeast"/>
        </w:trPr>
        <w:tc>
          <w:tcPr>
            <w:tcW w:w="65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widowControl/>
              <w:bidi w:val="0"/>
              <w:spacing w:before="120" w:after="0"/>
              <w:jc w:val="both"/>
              <w:rPr>
                <w:rFonts w:ascii="Ecofont_Spranq_eco_Sans" w:hAnsi="Ecofont_Spranq_eco_Sans" w:cs="Arial"/>
              </w:rPr>
            </w:pPr>
            <w:r>
              <w:rPr>
                <w:rFonts w:cs="Arial" w:ascii="Ecofont_Spranq_eco_Sans" w:hAnsi="Ecofont_Spranq_eco_Sans"/>
                <w:sz w:val="20"/>
              </w:rPr>
              <w:t>19. Comunicação à autoridade superior, no prazo de três dias, do ato que autoriza a dispensa ou reconhece a situação de inexigibilidade, para ratificação e publicação na imprensa oficial, no prazo de cinco dias (art. 26 da Lei nº 8.666/93).</w:t>
            </w:r>
          </w:p>
        </w:tc>
        <w:tc>
          <w:tcPr>
            <w:tcW w:w="9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/>
            </w:r>
          </w:p>
        </w:tc>
        <w:tc>
          <w:tcPr>
            <w:tcW w:w="6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/>
            </w:r>
          </w:p>
        </w:tc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  <w:insideH w:val="outset" w:sz="6" w:space="0" w:color="00000A"/>
              <w:insideV w:val="outset" w:sz="6" w:space="0" w:color="00000A"/>
            </w:tcBorders>
            <w:shd w:fill="auto" w:val="clear"/>
            <w:tcMar>
              <w:left w:w="14" w:type="dxa"/>
            </w:tcMar>
          </w:tcPr>
          <w:p>
            <w:pPr>
              <w:pStyle w:val="Normal"/>
              <w:spacing w:before="0" w:after="0"/>
              <w:jc w:val="left"/>
              <w:rPr>
                <w:rFonts w:ascii="Ecofont_Spranq_eco_Sans" w:hAnsi="Ecofont_Spranq_eco_Sans"/>
              </w:rPr>
            </w:pPr>
            <w:r>
              <w:rPr/>
            </w:r>
          </w:p>
        </w:tc>
      </w:tr>
    </w:tbl>
    <w:p>
      <w:pPr>
        <w:pStyle w:val="NoSpacing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Spacing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Spacing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Spacing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Spacing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Spacing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Spacing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Spacing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Spacing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Gerson de Alencar Lima </w:t>
      </w:r>
    </w:p>
    <w:p>
      <w:pPr>
        <w:pStyle w:val="NoSpacing"/>
        <w:spacing w:lineRule="auto" w:line="240" w:before="0" w:after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Diretoria de  Licitações – DLIC </w:t>
      </w:r>
    </w:p>
    <w:p>
      <w:pPr>
        <w:pStyle w:val="NoSpacing"/>
        <w:suppressAutoHyphens w:val="false"/>
        <w:spacing w:lineRule="auto" w:line="240" w:before="0" w:after="0"/>
        <w:ind w:left="27" w:right="0" w:hanging="0"/>
        <w:jc w:val="center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</w:rPr>
      </w:pPr>
      <w:r>
        <w:rPr>
          <w:rFonts w:cs="Arial" w:ascii="Ecofont_Spranq_eco_Sans" w:hAnsi="Ecofont_Spranq_eco_Sans"/>
          <w:b w:val="false"/>
          <w:bCs w:val="false"/>
          <w:i/>
          <w:iCs/>
          <w:color w:val="000000"/>
          <w:sz w:val="22"/>
          <w:szCs w:val="22"/>
          <w:u w:val="none"/>
        </w:rPr>
        <w:t>Reitoria do IF Sertão - PE</w:t>
      </w:r>
    </w:p>
    <w:sectPr>
      <w:headerReference w:type="default" r:id="rId3"/>
      <w:type w:val="nextPage"/>
      <w:pgSz w:w="11906" w:h="16838"/>
      <w:pgMar w:left="1701" w:right="851" w:header="1418" w:top="3173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80"/>
    <w:family w:val="roman"/>
    <w:pitch w:val="variable"/>
  </w:font>
  <w:font w:name="Ecofont_Spranq_eco_Sans"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120" w:after="0"/>
      <w:rPr>
        <w:rFonts w:ascii="Arial" w:hAnsi="Arial" w:eastAsia="Arial" w:cs="Arial"/>
        <w:lang w:val="pt-BR" w:eastAsia="pt-BR"/>
      </w:rPr>
    </w:pPr>
    <w:r>
      <w:rPr>
        <w:rFonts w:eastAsia="Arial" w:cs="Arial" w:ascii="Arial" w:hAnsi="Arial"/>
        <w:lang w:val="pt-BR" w:eastAsia="pt-BR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2597150</wp:posOffset>
          </wp:positionH>
          <wp:positionV relativeFrom="paragraph">
            <wp:posOffset>-445770</wp:posOffset>
          </wp:positionV>
          <wp:extent cx="660400" cy="647700"/>
          <wp:effectExtent l="0" t="0" r="0" b="0"/>
          <wp:wrapTopAndBottom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9" t="-121" r="-119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6">
          <wp:simplePos x="0" y="0"/>
          <wp:positionH relativeFrom="column">
            <wp:posOffset>5139055</wp:posOffset>
          </wp:positionH>
          <wp:positionV relativeFrom="paragraph">
            <wp:posOffset>-566420</wp:posOffset>
          </wp:positionV>
          <wp:extent cx="1020445" cy="366395"/>
          <wp:effectExtent l="0" t="0" r="0" b="0"/>
          <wp:wrapNone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" t="-31" r="-11" b="-31"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366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10">
          <wp:simplePos x="0" y="0"/>
          <wp:positionH relativeFrom="column">
            <wp:posOffset>-698500</wp:posOffset>
          </wp:positionH>
          <wp:positionV relativeFrom="paragraph">
            <wp:posOffset>-553085</wp:posOffset>
          </wp:positionV>
          <wp:extent cx="1373505" cy="353060"/>
          <wp:effectExtent l="0" t="0" r="0" b="0"/>
          <wp:wrapTopAndBottom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35" t="-135" r="-35" b="-135"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tLeast" w:line="200" w:before="0" w:after="0"/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  <w:t>MINISTÉRIO DA EDUCAÇÃO</w:t>
    </w:r>
  </w:p>
  <w:p>
    <w:pPr>
      <w:pStyle w:val="Normal"/>
      <w:spacing w:lineRule="atLeast" w:line="200" w:before="0" w:after="0"/>
      <w:jc w:val="center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SECRETARIA DA EDUCAÇÃO PROFISSIONAL E TECNOLÓGICA</w:t>
    </w:r>
  </w:p>
  <w:p>
    <w:pPr>
      <w:pStyle w:val="Normal"/>
      <w:spacing w:lineRule="atLeast" w:line="200" w:before="0" w:after="0"/>
      <w:jc w:val="center"/>
      <w:rPr>
        <w:rFonts w:ascii="Arial" w:hAnsi="Arial" w:cs="Arial"/>
        <w:b/>
        <w:b/>
        <w:sz w:val="16"/>
        <w:szCs w:val="16"/>
      </w:rPr>
    </w:pPr>
    <w:r>
      <w:rPr>
        <w:rFonts w:cs="Arial" w:ascii="Arial" w:hAnsi="Arial"/>
        <w:b/>
        <w:sz w:val="16"/>
        <w:szCs w:val="16"/>
      </w:rPr>
      <w:t>INSTITUTO FEDERAL DE EDUCAÇÃO, CIÊNCIA E TECNOLOGIA DO SERTÃO PERNAMBUCANO</w:t>
    </w:r>
  </w:p>
  <w:p>
    <w:pPr>
      <w:pStyle w:val="Normal"/>
      <w:spacing w:lineRule="atLeast" w:line="200" w:before="0" w:after="0"/>
      <w:jc w:val="center"/>
      <w:rPr>
        <w:rFonts w:ascii="Arial" w:hAnsi="Arial" w:cs="Arial"/>
        <w:b/>
        <w:b/>
        <w:color w:val="000000"/>
        <w:sz w:val="16"/>
        <w:szCs w:val="16"/>
      </w:rPr>
    </w:pPr>
    <w:r>
      <w:rPr>
        <w:rFonts w:cs="Arial" w:ascii="Arial" w:hAnsi="Arial"/>
        <w:b/>
        <w:color w:val="000000"/>
        <w:sz w:val="16"/>
        <w:szCs w:val="16"/>
      </w:rPr>
      <w:t xml:space="preserve">REITORIA </w:t>
    </w:r>
  </w:p>
  <w:p>
    <w:pPr>
      <w:pStyle w:val="Normal"/>
      <w:spacing w:lineRule="atLeast" w:line="200" w:before="0" w:after="0"/>
      <w:jc w:val="center"/>
      <w:rPr>
        <w:rFonts w:ascii="Arial" w:hAnsi="Arial" w:cs="Arial"/>
        <w:b/>
        <w:b/>
        <w:color w:val="000000"/>
        <w:sz w:val="16"/>
        <w:szCs w:val="16"/>
      </w:rPr>
    </w:pPr>
    <w:r>
      <w:rPr>
        <w:rFonts w:cs="Arial" w:ascii="Arial" w:hAnsi="Arial"/>
        <w:b/>
        <w:color w:val="000000"/>
        <w:sz w:val="16"/>
        <w:szCs w:val="16"/>
      </w:rPr>
      <w:t>PROAD/DLIC</w:t>
    </w:r>
  </w:p>
</w:hdr>
</file>

<file path=word/settings.xml><?xml version="1.0" encoding="utf-8"?>
<w:settings xmlns:w="http://schemas.openxmlformats.org/wordprocessingml/2006/main">
  <w:zoom w:percent="143"/>
  <w:defaultTabStop w:val="708"/>
  <w:compat>
    <w:compatSetting w:name="compatibilityMode" w:uri="http://schemas.microsoft.com/office/word" w:val="1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6ddb"/>
    <w:pPr>
      <w:widowControl/>
      <w:bidi w:val="0"/>
      <w:spacing w:before="120" w:after="0"/>
      <w:jc w:val="both"/>
    </w:pPr>
    <w:rPr>
      <w:rFonts w:ascii="Arial" w:hAnsi="Arial" w:eastAsia="Times New Roman" w:cs="Times New Roman"/>
      <w:color w:val="auto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uiPriority w:val="99"/>
    <w:unhideWhenUsed/>
    <w:rsid w:val="00532ae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516220"/>
    <w:rPr>
      <w:color w:val="954F72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paragraph" w:styleId="NoSpacing">
    <w:name w:val="No Spacing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DejaVu Sans" w:cs="DejaVu Sans"/>
      <w:color w:val="auto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gu.gov.br/page/content/detail/id_conteudo/191832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LibreOffice/5.2.6.2$Windows_x86 LibreOffice_project/a3100ed2409ebf1c212f5048fbe377c281438fdc</Application>
  <Pages>4</Pages>
  <Words>1220</Words>
  <Characters>6228</Characters>
  <CharactersWithSpaces>7381</CharactersWithSpaces>
  <Paragraphs>126</Paragraphs>
  <Company>AGU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2016-05-06T16:48:00Z</dcterms:created>
  <dc:creator>PC</dc:creator>
  <dc:description/>
  <dc:language>pt-BR</dc:language>
  <cp:lastModifiedBy/>
  <dcterms:modified xsi:type="dcterms:W3CDTF">2018-05-24T16:12:34Z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AGU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