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b/>
          <w:b/>
          <w:bCs/>
        </w:rPr>
      </w:pPr>
      <w:r>
        <w:rPr>
          <w:b/>
          <w:bCs/>
          <w:sz w:val="28"/>
          <w:szCs w:val="28"/>
        </w:rPr>
        <w:t>FORMALIZAÇÃO DA DEMANDA</w:t>
      </w:r>
      <w:r>
        <w:rPr>
          <w:b/>
          <w:bCs/>
        </w:rPr>
        <w:t>S</w:t>
      </w:r>
    </w:p>
    <w:p>
      <w:pPr>
        <w:pStyle w:val="Standard"/>
        <w:jc w:val="center"/>
        <w:rPr/>
      </w:pPr>
      <w:r>
        <w:rPr>
          <w:b/>
          <w:bCs/>
        </w:rPr>
        <w:t xml:space="preserve">Serviço de  </w:t>
      </w:r>
      <w:r>
        <w:rPr>
          <w:b/>
          <w:bCs/>
        </w:rPr>
        <w:t>Portaria</w:t>
      </w:r>
    </w:p>
    <w:p>
      <w:pPr>
        <w:pStyle w:val="Standard"/>
        <w:jc w:val="center"/>
        <w:rPr>
          <w:b/>
          <w:b/>
          <w:bCs/>
        </w:rPr>
      </w:pPr>
      <w:r>
        <w:rPr>
          <w:b/>
          <w:bCs/>
        </w:rPr>
      </w:r>
    </w:p>
    <w:p>
      <w:pPr>
        <w:pStyle w:val="Standard"/>
        <w:jc w:val="center"/>
        <w:rPr>
          <w:b/>
          <w:b/>
          <w:bCs/>
          <w:sz w:val="12"/>
        </w:rPr>
      </w:pPr>
      <w:r>
        <w:rPr>
          <w:b/>
          <w:bCs/>
          <w:sz w:val="12"/>
        </w:rPr>
      </w:r>
    </w:p>
    <w:tbl>
      <w:tblPr>
        <w:tblW w:w="9637"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2954"/>
        <w:gridCol w:w="6682"/>
      </w:tblGrid>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pPr>
            <w:r>
              <w:rPr>
                <w:sz w:val="28"/>
                <w:szCs w:val="28"/>
              </w:rPr>
              <w:t>INSTITUTO FEDERAL DO SERTÃO PERNAMBUCANO</w:t>
            </w:r>
          </w:p>
          <w:p>
            <w:pPr>
              <w:pStyle w:val="Contedodatabela"/>
              <w:jc w:val="center"/>
              <w:rPr/>
            </w:pPr>
            <w:r>
              <w:rPr>
                <w:color w:val="FF3333"/>
              </w:rPr>
              <w:t>Campus Floresta</w:t>
            </w:r>
          </w:p>
          <w:p>
            <w:pPr>
              <w:pStyle w:val="Contedodatabela"/>
              <w:jc w:val="center"/>
              <w:rPr/>
            </w:pPr>
            <w:r>
              <w:rPr>
                <w:color w:val="FF3333"/>
              </w:rPr>
              <w:t>Departamento de Administração e Planejamento</w:t>
            </w:r>
          </w:p>
        </w:tc>
      </w:tr>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t>Responsável: Luís Carlos de Oliveira Nunes</w:t>
            </w:r>
          </w:p>
        </w:tc>
      </w:tr>
      <w:tr>
        <w:trPr/>
        <w:tc>
          <w:tcPr>
            <w:tcW w:w="295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pPr>
            <w:r>
              <w:rPr/>
              <w:t>Matrícula/SIAPE:</w:t>
            </w:r>
          </w:p>
          <w:p>
            <w:pPr>
              <w:pStyle w:val="Contedodatabela"/>
              <w:jc w:val="center"/>
              <w:rPr/>
            </w:pPr>
            <w:r>
              <w:rPr/>
              <w:t>2061845</w:t>
            </w:r>
          </w:p>
        </w:tc>
        <w:tc>
          <w:tcPr>
            <w:tcW w:w="66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t>Email: luis.oliveira@ifsertao-pe.edu.br</w:t>
            </w:r>
          </w:p>
        </w:tc>
      </w:tr>
      <w:tr>
        <w:trPr/>
        <w:tc>
          <w:tcPr>
            <w:tcW w:w="295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Normal"/>
              <w:rPr/>
            </w:pPr>
            <w:r>
              <w:rPr/>
            </w:r>
          </w:p>
        </w:tc>
        <w:tc>
          <w:tcPr>
            <w:tcW w:w="668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t>Telefone: (87) 3877-1104/3877-2728-ramal 204</w:t>
            </w:r>
          </w:p>
        </w:tc>
      </w:tr>
      <w:tr>
        <w:trPr/>
        <w:tc>
          <w:tcPr>
            <w:tcW w:w="9636" w:type="dxa"/>
            <w:gridSpan w:val="2"/>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left w:w="46" w:type="dxa"/>
            </w:tcMar>
          </w:tcPr>
          <w:p>
            <w:pPr>
              <w:pStyle w:val="Contedodatabela"/>
              <w:spacing w:lineRule="auto" w:line="240"/>
              <w:jc w:val="both"/>
              <w:rPr/>
            </w:pPr>
            <w:r>
              <w:rPr/>
              <w:t>1. Justificativa da necessidade da contratação de serviço terceirizado, considerando o Planejamento Estratégico, se for o caso.</w:t>
            </w:r>
          </w:p>
          <w:p>
            <w:pPr>
              <w:pStyle w:val="Contedodatabela"/>
              <w:spacing w:lineRule="auto" w:line="240"/>
              <w:jc w:val="both"/>
              <w:rPr/>
            </w:pPr>
            <w:r>
              <w:rPr/>
            </w:r>
          </w:p>
          <w:p>
            <w:pPr>
              <w:pStyle w:val="Contedodatabela"/>
              <w:spacing w:lineRule="auto" w:line="240"/>
              <w:jc w:val="both"/>
              <w:rPr/>
            </w:pPr>
            <w:r>
              <w:rPr/>
              <w:t xml:space="preserve">    </w:t>
            </w:r>
            <w:r>
              <w:rPr>
                <w:rFonts w:cs="Arial" w:ascii="Arial" w:hAnsi="Arial"/>
                <w:sz w:val="22"/>
                <w:szCs w:val="22"/>
              </w:rPr>
              <w:t xml:space="preserve">O serviço objeto dessa contratação faz-se necessário tendo em vista que a Administração precisa ter o controle efetivo de entrada e saída de pessoas – público interno e externo – e de veículos no prédio da instituição. Para tal, não pode prescindir dos serviços de portaria. Por se tratar de uma instituição de ensino e ser grande o fluxo de pessoas que acessam o Campus, é evidente a necessidade desses serviços para tornar a administração do prédio mais eficiente e segura. O serviço de portaria é auxiliar, necessário à Administração para o desempenho de suas atribuições, permitindo que os servidores se concentrem nas atividades fins da instituição. </w:t>
            </w:r>
          </w:p>
          <w:p>
            <w:pPr>
              <w:pStyle w:val="Normal"/>
              <w:numPr>
                <w:ilvl w:val="1"/>
                <w:numId w:val="2"/>
              </w:numPr>
              <w:spacing w:lineRule="auto" w:line="240"/>
              <w:jc w:val="both"/>
              <w:rPr>
                <w:rFonts w:ascii="Arial" w:hAnsi="Arial" w:cs="Arial"/>
                <w:sz w:val="22"/>
                <w:szCs w:val="22"/>
              </w:rPr>
            </w:pPr>
            <w:r>
              <w:rPr>
                <w:rFonts w:cs="Arial" w:ascii="Arial" w:hAnsi="Arial"/>
                <w:sz w:val="22"/>
                <w:szCs w:val="22"/>
              </w:rPr>
              <w:t>A Lei nº 8.666/93, no art. 57, inciso II, contempla serviços que, por sua natureza, são necessários ao órgão, cuja paralisação pode ocasionar transtornos ao bom andamento das suas atividades. Os serviços demandados se enquadram nessa essência, são de natureza necessária e, portanto, devem ser executados de forma contínua para que não venha comprometer a ordem e causar prejuízos à Administração.</w:t>
            </w:r>
          </w:p>
          <w:p>
            <w:pPr>
              <w:pStyle w:val="Normal"/>
              <w:numPr>
                <w:ilvl w:val="1"/>
                <w:numId w:val="2"/>
              </w:numPr>
              <w:spacing w:lineRule="auto" w:line="240"/>
              <w:jc w:val="both"/>
              <w:rPr>
                <w:rFonts w:ascii="Arial" w:hAnsi="Arial" w:cs="Arial"/>
                <w:sz w:val="22"/>
                <w:szCs w:val="22"/>
              </w:rPr>
            </w:pPr>
            <w:r>
              <w:rPr>
                <w:rFonts w:cs="Arial" w:ascii="Arial" w:hAnsi="Arial"/>
                <w:sz w:val="22"/>
                <w:szCs w:val="22"/>
              </w:rPr>
              <w:t xml:space="preserve">A terceirização desses serviços justifica-se pelo fato do Instituto Federal de Educação, Ciência e Tecnologia do Sertão Pernambucano Campus Floresta não possuir em seu quadro de servidores profissionais qualificados para o desempenho das atividades de portaria, qual seja, agente de portaria, devido à ausência criada pela Lei nº 9.632, de 07 de maio de 1998, que extinguiu o referido cargo dos quadros da administração federal direta, autárquica e fundacional. </w:t>
            </w:r>
          </w:p>
          <w:p>
            <w:pPr>
              <w:pStyle w:val="Normal"/>
              <w:numPr>
                <w:ilvl w:val="1"/>
                <w:numId w:val="2"/>
              </w:numPr>
              <w:spacing w:lineRule="auto" w:line="240"/>
              <w:jc w:val="both"/>
              <w:rPr>
                <w:rFonts w:ascii="Arial" w:hAnsi="Arial" w:cs="Arial"/>
                <w:sz w:val="22"/>
                <w:szCs w:val="22"/>
              </w:rPr>
            </w:pPr>
            <w:r>
              <w:rPr>
                <w:rFonts w:cs="Arial" w:ascii="Arial" w:hAnsi="Arial"/>
                <w:sz w:val="22"/>
                <w:szCs w:val="22"/>
              </w:rPr>
              <w:t>Conforme a regulamentação legal, os cargos extintos são passivos de ser objeto de execução indireta, o art. 1º, § 1º e § 2º do Decreto nº 2.271 de 07 de julho de 1997, dispõe:</w:t>
            </w:r>
          </w:p>
          <w:p>
            <w:pPr>
              <w:pStyle w:val="Normal"/>
              <w:widowControl/>
              <w:suppressAutoHyphens w:val="true"/>
              <w:bidi w:val="0"/>
              <w:spacing w:lineRule="auto" w:line="240" w:before="0" w:after="0"/>
              <w:ind w:left="2268" w:right="0" w:hanging="0"/>
              <w:jc w:val="both"/>
              <w:rPr/>
            </w:pPr>
            <w:r>
              <w:rPr>
                <w:rFonts w:cs="Arial" w:ascii="Arial" w:hAnsi="Arial"/>
                <w:i/>
                <w:iCs/>
                <w:sz w:val="22"/>
                <w:szCs w:val="22"/>
              </w:rPr>
              <w:t>“</w:t>
            </w:r>
            <w:r>
              <w:rPr>
                <w:rFonts w:cs="Arial" w:ascii="Arial" w:hAnsi="Arial"/>
                <w:i/>
                <w:iCs/>
                <w:sz w:val="22"/>
                <w:szCs w:val="22"/>
              </w:rPr>
              <w:t>Art. 1º No âmbito da Administração Pública Federal direta, autárquica e fundacional poderão ser objeto de execução indireta as atividades materiais acessórias, instrumentais ou complementares aos assuntos que constituem área de competência legal do órgão ou entidade.</w:t>
            </w:r>
          </w:p>
          <w:p>
            <w:pPr>
              <w:pStyle w:val="Normal"/>
              <w:widowControl/>
              <w:suppressAutoHyphens w:val="true"/>
              <w:bidi w:val="0"/>
              <w:spacing w:lineRule="auto" w:line="240" w:before="0" w:after="0"/>
              <w:ind w:left="2268" w:right="0" w:hanging="0"/>
              <w:jc w:val="both"/>
              <w:rPr>
                <w:rFonts w:ascii="Arial" w:hAnsi="Arial" w:cs="Arial"/>
                <w:i/>
                <w:i/>
                <w:iCs/>
                <w:sz w:val="22"/>
                <w:szCs w:val="22"/>
              </w:rPr>
            </w:pPr>
            <w:r>
              <w:rPr>
                <w:rFonts w:cs="Arial" w:ascii="Arial" w:hAnsi="Arial"/>
                <w:i/>
                <w:iCs/>
                <w:sz w:val="22"/>
                <w:szCs w:val="22"/>
              </w:rPr>
              <w:t>§ 1º As atividades de conservação, limpeza, segurança, vigilância, transportes, informática, copeiragem, recepção, reprografia, telecomunicações e manutenção de prédios, equipamentos e instalações serão, de preferência, objeto de execução indireta.</w:t>
            </w:r>
          </w:p>
          <w:p>
            <w:pPr>
              <w:pStyle w:val="Normal"/>
              <w:widowControl/>
              <w:suppressAutoHyphens w:val="true"/>
              <w:bidi w:val="0"/>
              <w:spacing w:lineRule="auto" w:line="240" w:before="0" w:after="0"/>
              <w:ind w:left="2268" w:right="0" w:hanging="0"/>
              <w:jc w:val="both"/>
              <w:rPr>
                <w:rFonts w:ascii="Arial" w:hAnsi="Arial" w:cs="Arial"/>
                <w:i/>
                <w:i/>
                <w:iCs/>
                <w:sz w:val="22"/>
                <w:szCs w:val="22"/>
              </w:rPr>
            </w:pPr>
            <w:r>
              <w:rPr>
                <w:rFonts w:cs="Arial" w:ascii="Arial" w:hAnsi="Arial"/>
                <w:i/>
                <w:iCs/>
                <w:sz w:val="22"/>
                <w:szCs w:val="22"/>
              </w:rPr>
              <w:t>§ 2º Não poderão ser objeto de execução indireta as atividades inerentes às categorias funcionais abrangidas pelo plano de cargos do órgão ou entidade, salvo expressa disposição legal em contrário ou quando se tratar de cargo extinto, total ou parcialmente, no âmbito do quadro geral de pessoal. "</w:t>
            </w:r>
          </w:p>
          <w:p>
            <w:pPr>
              <w:pStyle w:val="Contedodatabela"/>
              <w:spacing w:lineRule="auto" w:line="240"/>
              <w:jc w:val="both"/>
              <w:rPr>
                <w:rFonts w:ascii="Arial" w:hAnsi="Arial" w:cs="Arial"/>
                <w:sz w:val="22"/>
                <w:szCs w:val="22"/>
              </w:rPr>
            </w:pPr>
            <w:r>
              <w:rPr>
                <w:rFonts w:cs="Arial" w:ascii="Arial" w:hAnsi="Arial"/>
                <w:sz w:val="22"/>
                <w:szCs w:val="22"/>
              </w:rPr>
            </w:r>
          </w:p>
          <w:p>
            <w:pPr>
              <w:pStyle w:val="Contedodatabela"/>
              <w:spacing w:lineRule="auto" w:line="240"/>
              <w:jc w:val="both"/>
              <w:rPr/>
            </w:pPr>
            <w:r>
              <w:rPr/>
            </w:r>
          </w:p>
          <w:p>
            <w:pPr>
              <w:pStyle w:val="Contedodatabela"/>
              <w:spacing w:lineRule="auto" w:line="240"/>
              <w:jc w:val="both"/>
              <w:rPr/>
            </w:pPr>
            <w:r>
              <w:rPr/>
            </w:r>
          </w:p>
        </w:tc>
      </w:tr>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t>2. Quantidade de serviço a ser contratada.</w:t>
            </w:r>
          </w:p>
          <w:p>
            <w:pPr>
              <w:pStyle w:val="Contedodatabela"/>
              <w:jc w:val="both"/>
              <w:rPr/>
            </w:pPr>
            <w:r>
              <w:rPr/>
            </w:r>
          </w:p>
          <w:tbl>
            <w:tblPr>
              <w:tblW w:w="9296" w:type="dxa"/>
              <w:jc w:val="left"/>
              <w:tblInd w:w="-118" w:type="dxa"/>
              <w:tblBorders>
                <w:top w:val="single" w:sz="4" w:space="0" w:color="00000A"/>
                <w:left w:val="single" w:sz="4" w:space="0" w:color="00000A"/>
                <w:bottom w:val="single" w:sz="4" w:space="0" w:color="00000A"/>
                <w:insideH w:val="single" w:sz="4" w:space="0" w:color="00000A"/>
              </w:tblBorders>
              <w:tblCellMar>
                <w:top w:w="0" w:type="dxa"/>
                <w:left w:w="98" w:type="dxa"/>
                <w:bottom w:w="0" w:type="dxa"/>
                <w:right w:w="108" w:type="dxa"/>
              </w:tblCellMar>
            </w:tblPr>
            <w:tblGrid>
              <w:gridCol w:w="1113"/>
              <w:gridCol w:w="1688"/>
              <w:gridCol w:w="1475"/>
              <w:gridCol w:w="5019"/>
            </w:tblGrid>
            <w:tr>
              <w:trPr/>
              <w:tc>
                <w:tcPr>
                  <w:tcW w:w="1113" w:type="dxa"/>
                  <w:tcBorders>
                    <w:top w:val="single" w:sz="4" w:space="0" w:color="00000A"/>
                    <w:left w:val="single" w:sz="4" w:space="0" w:color="00000A"/>
                    <w:bottom w:val="single" w:sz="4" w:space="0" w:color="00000A"/>
                    <w:insideH w:val="single" w:sz="4" w:space="0" w:color="00000A"/>
                  </w:tcBorders>
                  <w:shd w:fill="auto" w:val="clear"/>
                  <w:tcMar>
                    <w:left w:w="98" w:type="dxa"/>
                  </w:tcMar>
                  <w:vAlign w:val="center"/>
                </w:tcPr>
                <w:p>
                  <w:pPr>
                    <w:pStyle w:val="Normal"/>
                    <w:spacing w:before="0" w:after="200"/>
                    <w:jc w:val="center"/>
                    <w:rPr>
                      <w:rFonts w:ascii="Arial" w:hAnsi="Arial" w:cs="Arial"/>
                      <w:b/>
                      <w:b/>
                      <w:sz w:val="22"/>
                      <w:szCs w:val="22"/>
                    </w:rPr>
                  </w:pPr>
                  <w:r>
                    <w:rPr>
                      <w:rFonts w:cs="Arial" w:ascii="Arial" w:hAnsi="Arial"/>
                      <w:b/>
                      <w:sz w:val="22"/>
                      <w:szCs w:val="22"/>
                    </w:rPr>
                    <w:t>Item</w:t>
                  </w:r>
                </w:p>
              </w:tc>
              <w:tc>
                <w:tcPr>
                  <w:tcW w:w="1688" w:type="dxa"/>
                  <w:tcBorders>
                    <w:top w:val="single" w:sz="4" w:space="0" w:color="00000A"/>
                    <w:left w:val="single" w:sz="4" w:space="0" w:color="00000A"/>
                    <w:bottom w:val="single" w:sz="4" w:space="0" w:color="00000A"/>
                    <w:insideH w:val="single" w:sz="4" w:space="0" w:color="00000A"/>
                  </w:tcBorders>
                  <w:shd w:fill="auto" w:val="clear"/>
                  <w:tcMar>
                    <w:left w:w="98" w:type="dxa"/>
                  </w:tcMar>
                  <w:vAlign w:val="center"/>
                </w:tcPr>
                <w:p>
                  <w:pPr>
                    <w:pStyle w:val="Normal"/>
                    <w:spacing w:before="0" w:after="200"/>
                    <w:jc w:val="center"/>
                    <w:rPr>
                      <w:rFonts w:ascii="Arial" w:hAnsi="Arial" w:cs="Arial"/>
                      <w:b/>
                      <w:b/>
                      <w:sz w:val="22"/>
                      <w:szCs w:val="22"/>
                    </w:rPr>
                  </w:pPr>
                  <w:r>
                    <w:rPr>
                      <w:rFonts w:cs="Arial" w:ascii="Arial" w:hAnsi="Arial"/>
                      <w:b/>
                      <w:sz w:val="22"/>
                      <w:szCs w:val="22"/>
                    </w:rPr>
                    <w:t>Unidade</w:t>
                  </w:r>
                </w:p>
              </w:tc>
              <w:tc>
                <w:tcPr>
                  <w:tcW w:w="1475" w:type="dxa"/>
                  <w:tcBorders>
                    <w:top w:val="single" w:sz="4" w:space="0" w:color="00000A"/>
                    <w:left w:val="single" w:sz="4" w:space="0" w:color="00000A"/>
                    <w:bottom w:val="single" w:sz="4" w:space="0" w:color="00000A"/>
                    <w:insideH w:val="single" w:sz="4" w:space="0" w:color="00000A"/>
                  </w:tcBorders>
                  <w:shd w:fill="auto" w:val="clear"/>
                  <w:tcMar>
                    <w:left w:w="98" w:type="dxa"/>
                  </w:tcMar>
                  <w:vAlign w:val="center"/>
                </w:tcPr>
                <w:p>
                  <w:pPr>
                    <w:pStyle w:val="Normal"/>
                    <w:spacing w:before="0" w:after="200"/>
                    <w:jc w:val="center"/>
                    <w:rPr>
                      <w:rFonts w:ascii="Arial" w:hAnsi="Arial" w:cs="Arial"/>
                      <w:b/>
                      <w:b/>
                      <w:sz w:val="22"/>
                      <w:szCs w:val="22"/>
                    </w:rPr>
                  </w:pPr>
                  <w:r>
                    <w:rPr>
                      <w:rFonts w:cs="Arial" w:ascii="Arial" w:hAnsi="Arial"/>
                      <w:b/>
                      <w:sz w:val="22"/>
                      <w:szCs w:val="22"/>
                    </w:rPr>
                    <w:t>Quant.</w:t>
                  </w:r>
                </w:p>
              </w:tc>
              <w:tc>
                <w:tcPr>
                  <w:tcW w:w="5019" w:type="dxa"/>
                  <w:tcBorders>
                    <w:top w:val="single" w:sz="4" w:space="0" w:color="00000A"/>
                    <w:left w:val="single" w:sz="4" w:space="0" w:color="00000A"/>
                    <w:bottom w:val="single" w:sz="4" w:space="0" w:color="00000A"/>
                    <w:insideH w:val="single" w:sz="4" w:space="0" w:color="00000A"/>
                  </w:tcBorders>
                  <w:shd w:fill="auto" w:val="clear"/>
                  <w:tcMar>
                    <w:left w:w="98" w:type="dxa"/>
                  </w:tcMar>
                  <w:vAlign w:val="center"/>
                </w:tcPr>
                <w:p>
                  <w:pPr>
                    <w:pStyle w:val="Normal"/>
                    <w:spacing w:before="0" w:after="200"/>
                    <w:jc w:val="center"/>
                    <w:rPr>
                      <w:rFonts w:ascii="Arial" w:hAnsi="Arial" w:cs="Arial"/>
                      <w:b/>
                      <w:b/>
                      <w:sz w:val="22"/>
                      <w:szCs w:val="22"/>
                    </w:rPr>
                  </w:pPr>
                  <w:r>
                    <w:rPr>
                      <w:rFonts w:cs="Arial" w:ascii="Arial" w:hAnsi="Arial"/>
                      <w:b/>
                      <w:sz w:val="22"/>
                      <w:szCs w:val="22"/>
                    </w:rPr>
                    <w:t>Descrição/Especificação do Serviço</w:t>
                  </w:r>
                </w:p>
              </w:tc>
            </w:tr>
            <w:tr>
              <w:trPr/>
              <w:tc>
                <w:tcPr>
                  <w:tcW w:w="1113" w:type="dxa"/>
                  <w:tcBorders>
                    <w:top w:val="single" w:sz="4" w:space="0" w:color="00000A"/>
                    <w:left w:val="single" w:sz="4" w:space="0" w:color="00000A"/>
                    <w:bottom w:val="single" w:sz="4" w:space="0" w:color="00000A"/>
                    <w:insideH w:val="single" w:sz="4" w:space="0" w:color="00000A"/>
                  </w:tcBorders>
                  <w:shd w:fill="auto" w:val="clear"/>
                  <w:tcMar>
                    <w:left w:w="98" w:type="dxa"/>
                  </w:tcMar>
                  <w:vAlign w:val="center"/>
                </w:tcPr>
                <w:p>
                  <w:pPr>
                    <w:pStyle w:val="Normal"/>
                    <w:spacing w:before="0" w:after="200"/>
                    <w:jc w:val="center"/>
                    <w:rPr>
                      <w:rFonts w:ascii="Arial" w:hAnsi="Arial" w:cs="Arial"/>
                      <w:sz w:val="22"/>
                      <w:szCs w:val="22"/>
                    </w:rPr>
                  </w:pPr>
                  <w:r>
                    <w:rPr>
                      <w:rFonts w:cs="Arial" w:ascii="Arial" w:hAnsi="Arial"/>
                      <w:sz w:val="22"/>
                      <w:szCs w:val="22"/>
                    </w:rPr>
                    <w:t>1</w:t>
                  </w:r>
                </w:p>
              </w:tc>
              <w:tc>
                <w:tcPr>
                  <w:tcW w:w="1688" w:type="dxa"/>
                  <w:tcBorders>
                    <w:top w:val="single" w:sz="4" w:space="0" w:color="00000A"/>
                    <w:left w:val="single" w:sz="4" w:space="0" w:color="00000A"/>
                    <w:bottom w:val="single" w:sz="4" w:space="0" w:color="00000A"/>
                    <w:insideH w:val="single" w:sz="4" w:space="0" w:color="00000A"/>
                  </w:tcBorders>
                  <w:shd w:fill="auto" w:val="clear"/>
                  <w:tcMar>
                    <w:left w:w="98" w:type="dxa"/>
                  </w:tcMar>
                  <w:vAlign w:val="center"/>
                </w:tcPr>
                <w:p>
                  <w:pPr>
                    <w:pStyle w:val="Normal"/>
                    <w:spacing w:before="0" w:after="200"/>
                    <w:jc w:val="center"/>
                    <w:rPr>
                      <w:rFonts w:ascii="Arial" w:hAnsi="Arial" w:cs="Arial"/>
                      <w:sz w:val="22"/>
                      <w:szCs w:val="22"/>
                    </w:rPr>
                  </w:pPr>
                  <w:r>
                    <w:rPr>
                      <w:rFonts w:cs="Arial" w:ascii="Arial" w:hAnsi="Arial"/>
                      <w:sz w:val="22"/>
                      <w:szCs w:val="22"/>
                    </w:rPr>
                    <w:t>Mês</w:t>
                  </w:r>
                </w:p>
              </w:tc>
              <w:tc>
                <w:tcPr>
                  <w:tcW w:w="1475" w:type="dxa"/>
                  <w:tcBorders>
                    <w:top w:val="single" w:sz="4" w:space="0" w:color="00000A"/>
                    <w:left w:val="single" w:sz="4" w:space="0" w:color="00000A"/>
                    <w:bottom w:val="single" w:sz="4" w:space="0" w:color="00000A"/>
                    <w:insideH w:val="single" w:sz="4" w:space="0" w:color="00000A"/>
                  </w:tcBorders>
                  <w:shd w:fill="auto" w:val="clear"/>
                  <w:tcMar>
                    <w:left w:w="98" w:type="dxa"/>
                  </w:tcMar>
                  <w:vAlign w:val="center"/>
                </w:tcPr>
                <w:p>
                  <w:pPr>
                    <w:pStyle w:val="Normal"/>
                    <w:spacing w:before="0" w:after="200"/>
                    <w:jc w:val="center"/>
                    <w:rPr>
                      <w:rFonts w:ascii="Arial" w:hAnsi="Arial" w:cs="Arial"/>
                      <w:sz w:val="22"/>
                      <w:szCs w:val="22"/>
                    </w:rPr>
                  </w:pPr>
                  <w:r>
                    <w:rPr>
                      <w:rFonts w:cs="Arial" w:ascii="Arial" w:hAnsi="Arial"/>
                      <w:sz w:val="22"/>
                      <w:szCs w:val="22"/>
                    </w:rPr>
                    <w:t>12</w:t>
                  </w:r>
                </w:p>
              </w:tc>
              <w:tc>
                <w:tcPr>
                  <w:tcW w:w="5019" w:type="dxa"/>
                  <w:tcBorders>
                    <w:top w:val="single" w:sz="4" w:space="0" w:color="00000A"/>
                    <w:left w:val="single" w:sz="4" w:space="0" w:color="00000A"/>
                    <w:bottom w:val="single" w:sz="4" w:space="0" w:color="00000A"/>
                    <w:insideH w:val="single" w:sz="4" w:space="0" w:color="00000A"/>
                  </w:tcBorders>
                  <w:shd w:fill="auto" w:val="clear"/>
                  <w:tcMar>
                    <w:left w:w="98" w:type="dxa"/>
                  </w:tcMar>
                </w:tcPr>
                <w:p>
                  <w:pPr>
                    <w:pStyle w:val="Normal"/>
                    <w:spacing w:before="0" w:after="200"/>
                    <w:jc w:val="both"/>
                    <w:rPr>
                      <w:rFonts w:ascii="Arial" w:hAnsi="Arial" w:cs="Arial"/>
                      <w:sz w:val="22"/>
                      <w:szCs w:val="22"/>
                    </w:rPr>
                  </w:pPr>
                  <w:r>
                    <w:rPr>
                      <w:rFonts w:cs="Arial" w:ascii="Arial" w:hAnsi="Arial"/>
                      <w:sz w:val="22"/>
                      <w:szCs w:val="22"/>
                    </w:rPr>
                    <w:t>Prestação de serviço de portaria para o Campus Floresta, com carga horária de 12x36, inclusive aos sábados, domingos e feriados, das 06:00 às 18:00, posto composto por dois porteiros que se revezarão entre si. CBO nº 5174-10.</w:t>
                  </w:r>
                </w:p>
              </w:tc>
            </w:tr>
          </w:tbl>
          <w:p>
            <w:pPr>
              <w:pStyle w:val="Normal"/>
              <w:jc w:val="both"/>
              <w:rPr/>
            </w:pPr>
            <w:r>
              <w:rPr/>
            </w:r>
          </w:p>
        </w:tc>
      </w:tr>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t>3. Previsão de data em que deve ser iniciada a prestação do(s) serviço(s).</w:t>
            </w:r>
          </w:p>
          <w:p>
            <w:pPr>
              <w:pStyle w:val="Contedodatabela"/>
              <w:jc w:val="both"/>
              <w:rPr/>
            </w:pPr>
            <w:r>
              <w:rPr/>
              <w:t>12/05/2018</w:t>
            </w:r>
          </w:p>
          <w:p>
            <w:pPr>
              <w:pStyle w:val="Contedodatabela"/>
              <w:jc w:val="both"/>
              <w:rPr/>
            </w:pPr>
            <w:r>
              <w:rPr/>
            </w:r>
          </w:p>
        </w:tc>
      </w:tr>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t xml:space="preserve">4. Indicação do(s) membro(s) – nome completo e SIAPE – para compor a equipe de planejamento da contratação </w:t>
            </w:r>
            <w:r>
              <w:rPr>
                <w:i/>
                <w:iCs/>
              </w:rPr>
              <w:t>(avaliar a necessidade de incluir o(s) responsável(is) pela fiscalização).</w:t>
            </w:r>
          </w:p>
          <w:p>
            <w:pPr>
              <w:pStyle w:val="Contedodatabela"/>
              <w:jc w:val="both"/>
              <w:rPr/>
            </w:pPr>
            <w:r>
              <w:rPr/>
            </w:r>
          </w:p>
          <w:p>
            <w:pPr>
              <w:pStyle w:val="Contedodatabela"/>
              <w:numPr>
                <w:ilvl w:val="0"/>
                <w:numId w:val="1"/>
              </w:numPr>
              <w:jc w:val="both"/>
              <w:rPr>
                <w:color w:val="000000"/>
              </w:rPr>
            </w:pPr>
            <w:r>
              <w:rPr>
                <w:color w:val="000000"/>
              </w:rPr>
              <w:t>Luís Carlos de Oliveira Nunes;</w:t>
            </w:r>
          </w:p>
          <w:p>
            <w:pPr>
              <w:pStyle w:val="Contedodatabela"/>
              <w:numPr>
                <w:ilvl w:val="0"/>
                <w:numId w:val="1"/>
              </w:numPr>
              <w:jc w:val="both"/>
              <w:rPr/>
            </w:pPr>
            <w:r>
              <w:rPr>
                <w:rFonts w:ascii="Lato;sans-serif" w:hAnsi="Lato;sans-serif"/>
                <w:b/>
                <w:i w:val="false"/>
                <w:caps w:val="false"/>
                <w:smallCaps w:val="false"/>
                <w:color w:val="333333"/>
                <w:spacing w:val="0"/>
                <w:sz w:val="20"/>
              </w:rPr>
              <w:t>Madson Fernandes de Melo Júnior</w:t>
            </w:r>
            <w:r>
              <w:rPr>
                <w:rFonts w:ascii="Lato;sans-serif" w:hAnsi="Lato;sans-serif"/>
                <w:b/>
                <w:i w:val="false"/>
                <w:caps w:val="false"/>
                <w:smallCaps w:val="false"/>
                <w:color w:val="FF3333"/>
                <w:spacing w:val="0"/>
                <w:sz w:val="20"/>
              </w:rPr>
              <w:t>.</w:t>
            </w:r>
          </w:p>
          <w:p>
            <w:pPr>
              <w:pStyle w:val="Contedodatabela"/>
              <w:jc w:val="both"/>
              <w:rPr/>
            </w:pPr>
            <w:r>
              <w:rPr/>
              <w:t xml:space="preserve">   </w:t>
            </w:r>
            <w:r>
              <w:rPr/>
              <w:t>Tendo em vista o aguardo da entrada de servidores em exercício, bem como o prazo necessário para a realização do processo, consta os nomes elencados acima como contribuintes para o planejamento da contratação, ficando para momento posterior a definição dos responsáveis pela fiscalização, uma vez que o quantitativo de é pequeno, no caso 01 posto.</w:t>
            </w:r>
          </w:p>
        </w:tc>
      </w:tr>
      <w:tr>
        <w:trPr/>
        <w:tc>
          <w:tcPr>
            <w:tcW w:w="963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bookmarkStart w:id="0" w:name="_GoBack"/>
            <w:bookmarkStart w:id="1" w:name="_GoBack"/>
            <w:bookmarkEnd w:id="1"/>
            <w:r>
              <w:rPr/>
            </w:r>
          </w:p>
          <w:p>
            <w:pPr>
              <w:pStyle w:val="Contedodatabela"/>
              <w:jc w:val="both"/>
              <w:rPr/>
            </w:pPr>
            <w:r>
              <w:rPr>
                <w:color w:val="FF3333"/>
              </w:rPr>
              <w:t>Floresta, 18 de abril de 2018.</w:t>
            </w:r>
          </w:p>
          <w:p>
            <w:pPr>
              <w:pStyle w:val="Contedodatabela"/>
              <w:jc w:val="both"/>
              <w:rPr/>
            </w:pPr>
            <w:r>
              <w:rPr/>
            </w:r>
          </w:p>
          <w:p>
            <w:pPr>
              <w:pStyle w:val="Contedodatabela"/>
              <w:jc w:val="both"/>
              <w:rPr/>
            </w:pPr>
            <w:r>
              <w:rPr/>
            </w:r>
          </w:p>
          <w:p>
            <w:pPr>
              <w:pStyle w:val="Contedodatabela"/>
              <w:jc w:val="center"/>
              <w:rPr/>
            </w:pPr>
            <w:r>
              <w:rPr>
                <w:color w:val="FF3333"/>
              </w:rPr>
              <w:t>Responsável</w:t>
            </w:r>
          </w:p>
        </w:tc>
      </w:tr>
    </w:tbl>
    <w:p>
      <w:pPr>
        <w:pStyle w:val="Normal"/>
        <w:rPr/>
      </w:pPr>
      <w:r>
        <w:rPr/>
      </w:r>
    </w:p>
    <w:p>
      <w:pPr>
        <w:pStyle w:val="Normal"/>
        <w:rPr/>
      </w:pPr>
      <w:r>
        <w:rPr/>
      </w:r>
    </w:p>
    <w:p>
      <w:pPr>
        <w:pStyle w:val="Normal"/>
        <w:rPr/>
      </w:pPr>
      <w:r>
        <w:rPr/>
      </w:r>
    </w:p>
    <w:p>
      <w:pPr>
        <w:pStyle w:val="Normal"/>
        <w:rPr/>
      </w:pPr>
      <w:r>
        <w:rPr/>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Lato">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enter" w:pos="4252" w:leader="none"/>
        <w:tab w:val="center" w:pos="5726" w:leader="none"/>
        <w:tab w:val="right" w:pos="8504" w:leader="none"/>
        <w:tab w:val="right" w:pos="10545" w:leader="none"/>
      </w:tabs>
      <w:ind w:left="907" w:hanging="0"/>
      <w:rPr>
        <w:rFonts w:ascii="Arial" w:hAnsi="Arial" w:cs="Arial"/>
        <w:b/>
        <w:b/>
        <w:sz w:val="22"/>
        <w:szCs w:val="22"/>
      </w:rPr>
    </w:pPr>
    <w:r>
      <w:drawing>
        <wp:anchor behindDoc="1" distT="0" distB="9525" distL="114300" distR="123190" simplePos="0" locked="0" layoutInCell="1" allowOverlap="1" relativeHeight="3">
          <wp:simplePos x="0" y="0"/>
          <wp:positionH relativeFrom="column">
            <wp:posOffset>4964430</wp:posOffset>
          </wp:positionH>
          <wp:positionV relativeFrom="paragraph">
            <wp:posOffset>-234950</wp:posOffset>
          </wp:positionV>
          <wp:extent cx="791210" cy="638175"/>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91210" cy="638175"/>
                  </a:xfrm>
                  <a:prstGeom prst="rect">
                    <a:avLst/>
                  </a:prstGeom>
                </pic:spPr>
              </pic:pic>
            </a:graphicData>
          </a:graphic>
        </wp:anchor>
      </w:drawing>
      <w:drawing>
        <wp:anchor behindDoc="1" distT="0" distB="0" distL="114300" distR="123190" simplePos="0" locked="0" layoutInCell="1" allowOverlap="1" relativeHeight="5">
          <wp:simplePos x="0" y="0"/>
          <wp:positionH relativeFrom="column">
            <wp:posOffset>-206375</wp:posOffset>
          </wp:positionH>
          <wp:positionV relativeFrom="paragraph">
            <wp:posOffset>-131445</wp:posOffset>
          </wp:positionV>
          <wp:extent cx="524510" cy="517525"/>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524510" cy="517525"/>
                  </a:xfrm>
                  <a:prstGeom prst="rect">
                    <a:avLst/>
                  </a:prstGeom>
                </pic:spPr>
              </pic:pic>
            </a:graphicData>
          </a:graphic>
        </wp:anchor>
      </w:drawing>
    </w:r>
    <w:r>
      <w:rPr>
        <w:rFonts w:cs="Arial" w:ascii="Arial" w:hAnsi="Arial"/>
        <w:b/>
        <w:sz w:val="22"/>
        <w:szCs w:val="22"/>
      </w:rPr>
      <w:t>M</w:t>
    </w:r>
    <w:r>
      <w:rPr>
        <w:rFonts w:cs="Arial" w:ascii="Arial" w:hAnsi="Arial"/>
        <w:b/>
        <w:sz w:val="22"/>
        <w:szCs w:val="22"/>
      </w:rPr>
      <w:t>INISTÉRIO DA EDUCAÇÃO</w:t>
    </w:r>
  </w:p>
  <w:p>
    <w:pPr>
      <w:pStyle w:val="Cabealho"/>
      <w:tabs>
        <w:tab w:val="center" w:pos="4252" w:leader="none"/>
        <w:tab w:val="center" w:pos="5726" w:leader="none"/>
        <w:tab w:val="right" w:pos="8504" w:leader="none"/>
        <w:tab w:val="right" w:pos="10545" w:leader="none"/>
      </w:tabs>
      <w:ind w:left="907" w:hanging="0"/>
      <w:rPr>
        <w:rFonts w:ascii="Arial" w:hAnsi="Arial" w:cs="Arial"/>
        <w:b/>
        <w:b/>
        <w:sz w:val="16"/>
        <w:szCs w:val="16"/>
      </w:rPr>
    </w:pPr>
    <w:r>
      <w:rPr>
        <w:rFonts w:cs="Arial" w:ascii="Arial" w:hAnsi="Arial"/>
        <w:b/>
        <w:sz w:val="16"/>
        <w:szCs w:val="16"/>
      </w:rPr>
      <w:t>SECRETARIA DA EDUCAÇÃO PROFISSIONAL E TECNOLÓGICA</w:t>
    </w:r>
  </w:p>
  <w:p>
    <w:pPr>
      <w:pStyle w:val="Cabealho"/>
      <w:tabs>
        <w:tab w:val="center" w:pos="4252" w:leader="none"/>
        <w:tab w:val="center" w:pos="5726" w:leader="none"/>
        <w:tab w:val="right" w:pos="8504" w:leader="none"/>
        <w:tab w:val="right" w:pos="10545" w:leader="none"/>
      </w:tabs>
      <w:ind w:left="907" w:hanging="0"/>
      <w:rPr>
        <w:rFonts w:ascii="Arial" w:hAnsi="Arial" w:cs="Arial"/>
        <w:b/>
        <w:b/>
        <w:sz w:val="14"/>
        <w:szCs w:val="14"/>
      </w:rPr>
    </w:pPr>
    <w:r>
      <w:rPr>
        <w:rFonts w:cs="Arial" w:ascii="Arial" w:hAnsi="Arial"/>
        <w:b/>
        <w:sz w:val="14"/>
        <w:szCs w:val="14"/>
      </w:rPr>
      <w:t>INSTITUTO FEDERAL DE EDUCAÇÃO, CIÊNCIA E TECNOLOGIA DO SERTÃO PERNAMBUCANO</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ind w:left="360" w:hanging="360"/>
      </w:pPr>
      <w:rPr>
        <w:sz w:val="20"/>
        <w:b/>
        <w:rFonts w:cs="Calibri"/>
      </w:rPr>
    </w:lvl>
    <w:lvl w:ilvl="1">
      <w:start w:val="1"/>
      <w:numFmt w:val="decimal"/>
      <w:lvlText w:val="%1.%2."/>
      <w:lvlJc w:val="left"/>
      <w:pPr>
        <w:ind w:left="792" w:hanging="432"/>
      </w:pPr>
      <w:rPr>
        <w:sz w:val="22"/>
        <w:szCs w:val="22"/>
        <w:rFonts w:ascii="Arial" w:hAnsi="Arial" w:eastAsia="Arial" w:cs="Arial"/>
        <w:lang w:eastAsia="en-US"/>
      </w:rPr>
    </w:lvl>
    <w:lvl w:ilvl="2">
      <w:start w:val="1"/>
      <w:numFmt w:val="decimal"/>
      <w:lvlText w:val="%1.%2.%3."/>
      <w:lvlJc w:val="left"/>
      <w:pPr>
        <w:ind w:left="1224" w:hanging="504"/>
      </w:pPr>
      <w:rPr>
        <w:sz w:val="22"/>
        <w:b/>
        <w:szCs w:val="22"/>
        <w:rFonts w:eastAsia="Calibri" w:cs="Arial"/>
        <w:lang w:val="pt-BR" w:eastAsia="zh-CN" w:bidi="ar-SA"/>
      </w:rPr>
    </w:lvl>
    <w:lvl w:ilvl="3">
      <w:start w:val="1"/>
      <w:numFmt w:val="decimal"/>
      <w:lvlText w:val="%1.%2.%3.%4."/>
      <w:lvlJc w:val="left"/>
      <w:pPr>
        <w:ind w:left="1728" w:hanging="648"/>
      </w:pPr>
      <w:rPr>
        <w:sz w:val="22"/>
        <w:szCs w:val="22"/>
        <w:rFonts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3e6e"/>
    <w:pPr>
      <w:widowControl w:val="false"/>
      <w:suppressAutoHyphens w:val="true"/>
      <w:bidi w:val="0"/>
      <w:spacing w:lineRule="auto" w:line="240" w:before="0" w:after="0"/>
      <w:jc w:val="left"/>
      <w:textAlignment w:val="baseline"/>
    </w:pPr>
    <w:rPr>
      <w:rFonts w:ascii="Liberation Serif" w:hAnsi="Liberation Serif" w:eastAsia="SimSun" w:cs="Mangal"/>
      <w:color w:val="00000A"/>
      <w:kern w:val="0"/>
      <w:sz w:val="24"/>
      <w:szCs w:val="24"/>
      <w:lang w:val="pt-BR" w:eastAsia="zh-CN" w:bidi="hi-I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453e6e"/>
    <w:rPr>
      <w:rFonts w:ascii="Liberation Serif" w:hAnsi="Liberation Serif" w:eastAsia="SimSun" w:cs="Mangal"/>
      <w:sz w:val="24"/>
      <w:szCs w:val="21"/>
      <w:lang w:eastAsia="zh-CN" w:bidi="hi-IN"/>
    </w:rPr>
  </w:style>
  <w:style w:type="character" w:styleId="RodapChar" w:customStyle="1">
    <w:name w:val="Rodapé Char"/>
    <w:basedOn w:val="DefaultParagraphFont"/>
    <w:link w:val="Rodap"/>
    <w:uiPriority w:val="99"/>
    <w:qFormat/>
    <w:rsid w:val="00453e6e"/>
    <w:rPr>
      <w:rFonts w:ascii="Liberation Serif" w:hAnsi="Liberation Serif" w:eastAsia="SimSun" w:cs="Mangal"/>
      <w:sz w:val="24"/>
      <w:szCs w:val="21"/>
      <w:lang w:eastAsia="zh-CN" w:bidi="hi-IN"/>
    </w:rPr>
  </w:style>
  <w:style w:type="character" w:styleId="Smbolosdenumerao">
    <w:name w:val="Símbolos de numeração"/>
    <w:qFormat/>
    <w:rPr/>
  </w:style>
  <w:style w:type="character" w:styleId="WW8Num1z0">
    <w:name w:val="WW8Num1z0"/>
    <w:qFormat/>
    <w:rPr>
      <w:rFonts w:ascii="Calibri" w:hAnsi="Calibri" w:cs="Calibri"/>
      <w:b/>
      <w:sz w:val="20"/>
    </w:rPr>
  </w:style>
  <w:style w:type="character" w:styleId="WW8Num1z1">
    <w:name w:val="WW8Num1z1"/>
    <w:qFormat/>
    <w:rPr>
      <w:rFonts w:ascii="Arial" w:hAnsi="Arial" w:eastAsia="Arial" w:cs="Arial"/>
      <w:sz w:val="22"/>
      <w:szCs w:val="22"/>
      <w:lang w:eastAsia="en-US"/>
    </w:rPr>
  </w:style>
  <w:style w:type="character" w:styleId="WW8Num1z2">
    <w:name w:val="WW8Num1z2"/>
    <w:qFormat/>
    <w:rPr>
      <w:rFonts w:ascii="Arial" w:hAnsi="Arial" w:eastAsia="Calibri" w:cs="Arial"/>
      <w:b/>
      <w:sz w:val="22"/>
      <w:szCs w:val="22"/>
      <w:lang w:val="pt-BR" w:eastAsia="zh-CN" w:bidi="ar-SA"/>
    </w:rPr>
  </w:style>
  <w:style w:type="character" w:styleId="WW8Num1z3">
    <w:name w:val="WW8Num1z3"/>
    <w:qFormat/>
    <w:rPr>
      <w:rFonts w:ascii="Arial" w:hAnsi="Arial" w:cs="Arial"/>
      <w:sz w:val="22"/>
      <w:szCs w:val="22"/>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
    <w:name w:val="ListLabel 1"/>
    <w:qFormat/>
    <w:rPr>
      <w:rFonts w:cs="Calibri"/>
      <w:b/>
      <w:sz w:val="20"/>
    </w:rPr>
  </w:style>
  <w:style w:type="character" w:styleId="ListLabel2">
    <w:name w:val="ListLabel 2"/>
    <w:qFormat/>
    <w:rPr>
      <w:rFonts w:ascii="Arial" w:hAnsi="Arial" w:eastAsia="Arial" w:cs="Arial"/>
      <w:sz w:val="22"/>
      <w:szCs w:val="22"/>
      <w:lang w:eastAsia="en-US"/>
    </w:rPr>
  </w:style>
  <w:style w:type="character" w:styleId="ListLabel3">
    <w:name w:val="ListLabel 3"/>
    <w:qFormat/>
    <w:rPr>
      <w:rFonts w:eastAsia="Calibri" w:cs="Arial"/>
      <w:b/>
      <w:sz w:val="22"/>
      <w:szCs w:val="22"/>
      <w:lang w:val="pt-BR" w:eastAsia="zh-CN" w:bidi="ar-SA"/>
    </w:rPr>
  </w:style>
  <w:style w:type="character" w:styleId="ListLabel4">
    <w:name w:val="ListLabel 4"/>
    <w:qFormat/>
    <w:rPr>
      <w:rFonts w:cs="Arial"/>
      <w:sz w:val="22"/>
      <w:szCs w:val="22"/>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tandard" w:customStyle="1">
    <w:name w:val="Standard"/>
    <w:qFormat/>
    <w:rsid w:val="00453e6e"/>
    <w:pPr>
      <w:widowControl w:val="false"/>
      <w:suppressAutoHyphens w:val="true"/>
      <w:bidi w:val="0"/>
      <w:spacing w:lineRule="auto" w:line="240" w:before="0" w:after="0"/>
      <w:jc w:val="left"/>
      <w:textAlignment w:val="baseline"/>
    </w:pPr>
    <w:rPr>
      <w:rFonts w:ascii="Liberation Serif" w:hAnsi="Liberation Serif" w:eastAsia="SimSun" w:cs="Mangal"/>
      <w:color w:val="00000A"/>
      <w:kern w:val="0"/>
      <w:sz w:val="24"/>
      <w:szCs w:val="24"/>
      <w:lang w:val="pt-BR" w:eastAsia="zh-CN" w:bidi="hi-IN"/>
    </w:rPr>
  </w:style>
  <w:style w:type="paragraph" w:styleId="Contedodatabela" w:customStyle="1">
    <w:name w:val="Conteúdo da tabela"/>
    <w:basedOn w:val="Standard"/>
    <w:qFormat/>
    <w:rsid w:val="00453e6e"/>
    <w:pPr>
      <w:suppressLineNumbers/>
    </w:pPr>
    <w:rPr/>
  </w:style>
  <w:style w:type="paragraph" w:styleId="Cabealho">
    <w:name w:val="Header"/>
    <w:basedOn w:val="Normal"/>
    <w:link w:val="CabealhoChar"/>
    <w:unhideWhenUsed/>
    <w:rsid w:val="00453e6e"/>
    <w:pPr>
      <w:tabs>
        <w:tab w:val="center" w:pos="4252" w:leader="none"/>
        <w:tab w:val="right" w:pos="8504" w:leader="none"/>
      </w:tabs>
    </w:pPr>
    <w:rPr>
      <w:szCs w:val="21"/>
    </w:rPr>
  </w:style>
  <w:style w:type="paragraph" w:styleId="Rodap">
    <w:name w:val="Footer"/>
    <w:basedOn w:val="Normal"/>
    <w:link w:val="RodapChar"/>
    <w:uiPriority w:val="99"/>
    <w:unhideWhenUsed/>
    <w:rsid w:val="00453e6e"/>
    <w:pPr>
      <w:tabs>
        <w:tab w:val="center" w:pos="4252" w:leader="none"/>
        <w:tab w:val="right" w:pos="8504" w:leader="none"/>
      </w:tabs>
    </w:pPr>
    <w:rPr>
      <w:szCs w:val="21"/>
    </w:rPr>
  </w:style>
  <w:style w:type="numbering" w:styleId="NoList" w:default="1">
    <w:name w:val="No List"/>
    <w:uiPriority w:val="99"/>
    <w:semiHidden/>
    <w:unhideWhenUsed/>
    <w:qFormat/>
  </w:style>
  <w:style w:type="numbering" w:styleId="WW8Num1">
    <w:name w:val="WW8Num1"/>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LibreOffice/5.4.1.2$Windows_x86 LibreOffice_project/ea7cb86e6eeb2bf3a5af73a8f7777ac570321527</Application>
  <Pages>2</Pages>
  <Words>620</Words>
  <Characters>3536</Characters>
  <CharactersWithSpaces>4127</CharactersWithSpaces>
  <Paragraphs>38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2018-01-30T14:54:00Z</dcterms:created>
  <dc:creator>Edson Luis dos Santos Barbosa</dc:creator>
  <dc:description/>
  <dc:language>pt-BR</dc:language>
  <cp:lastModifiedBy/>
  <cp:lastPrinted>2018-04-18T15:36:06Z</cp:lastPrinted>
  <dcterms:modified xsi:type="dcterms:W3CDTF">2018-04-23T14:13:43Z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