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b/>
          <w:b/>
          <w:bCs/>
          <w:color w:val="000000"/>
          <w:szCs w:val="20"/>
        </w:rPr>
      </w:pPr>
      <w:r>
        <w:rPr>
          <w:rFonts w:cs="Arial"/>
          <w:b/>
          <w:bCs/>
          <w:color w:val="000000"/>
          <w:szCs w:val="20"/>
        </w:rPr>
        <w:t xml:space="preserve"> </w:t>
      </w:r>
      <w:r>
        <w:rPr>
          <w:rFonts w:cs="Arial"/>
          <w:b/>
          <w:bCs/>
          <w:color w:val="000000"/>
          <w:szCs w:val="20"/>
        </w:rPr>
        <w:t>TERMO DE REFERÊNCIA</w:t>
      </w:r>
    </w:p>
    <w:p>
      <w:pPr>
        <w:pStyle w:val="Normal"/>
        <w:jc w:val="center"/>
        <w:rPr>
          <w:rFonts w:cs="Arial"/>
          <w:bCs/>
          <w:color w:val="000000"/>
          <w:szCs w:val="20"/>
        </w:rPr>
      </w:pPr>
      <w:r>
        <w:rPr>
          <w:rFonts w:cs="Arial"/>
          <w:bCs/>
          <w:color w:val="000000"/>
          <w:szCs w:val="20"/>
        </w:rPr>
      </w:r>
    </w:p>
    <w:p>
      <w:pPr>
        <w:pStyle w:val="Normal"/>
        <w:jc w:val="center"/>
        <w:rPr>
          <w:rFonts w:cs="Arial"/>
          <w:b/>
          <w:b/>
          <w:bCs/>
          <w:color w:val="000000"/>
          <w:szCs w:val="20"/>
        </w:rPr>
      </w:pPr>
      <w:r>
        <w:rPr>
          <w:rFonts w:cs="Arial"/>
          <w:b/>
          <w:bCs/>
          <w:color w:val="000000"/>
          <w:szCs w:val="20"/>
        </w:rPr>
      </w:r>
    </w:p>
    <w:p>
      <w:pPr>
        <w:pStyle w:val="Normal"/>
        <w:jc w:val="center"/>
        <w:rPr>
          <w:rFonts w:cs="Arial"/>
          <w:b/>
          <w:b/>
          <w:bCs/>
          <w:i/>
          <w:i/>
          <w:color w:val="FF0000"/>
          <w:szCs w:val="20"/>
        </w:rPr>
      </w:pPr>
      <w:r>
        <w:rPr>
          <w:rFonts w:cs="Arial"/>
          <w:b/>
          <w:bCs/>
          <w:i/>
          <w:color w:val="FF0000"/>
          <w:szCs w:val="20"/>
        </w:rPr>
      </w:r>
    </w:p>
    <w:p>
      <w:pPr>
        <w:pStyle w:val="Cabealho"/>
        <w:ind w:left="0" w:right="-17" w:hanging="0"/>
        <w:jc w:val="center"/>
        <w:rPr>
          <w:rFonts w:cs="Arial"/>
          <w:b/>
          <w:b/>
          <w:bCs/>
          <w:i/>
          <w:i/>
          <w:color w:val="000000"/>
          <w:sz w:val="18"/>
          <w:szCs w:val="20"/>
        </w:rPr>
      </w:pPr>
      <w:r>
        <w:rPr>
          <w:rFonts w:cs="Arial"/>
          <w:b/>
          <w:bCs/>
          <w:i/>
          <w:color w:val="000000"/>
          <w:sz w:val="18"/>
          <w:szCs w:val="20"/>
        </w:rPr>
        <w:t>INSTITUTO FEDERAL DE EDUCAÇÃO, CIÊNCIA E TECNOLOGIA DO SERTÃO PERNAMBUCANO</w:t>
      </w:r>
    </w:p>
    <w:p>
      <w:pPr>
        <w:pStyle w:val="Normal"/>
        <w:ind w:left="0" w:right="-17" w:hanging="0"/>
        <w:jc w:val="center"/>
        <w:rPr>
          <w:b/>
          <w:b/>
          <w:bCs/>
        </w:rPr>
      </w:pPr>
      <w:r>
        <w:rPr>
          <w:rFonts w:cs="Arial"/>
          <w:b/>
          <w:bCs/>
          <w:color w:val="000000"/>
          <w:szCs w:val="20"/>
        </w:rPr>
        <w:t>IF SERTÃO PE</w:t>
      </w:r>
    </w:p>
    <w:p>
      <w:pPr>
        <w:pStyle w:val="Normal"/>
        <w:ind w:left="0" w:right="-17" w:hanging="0"/>
        <w:jc w:val="center"/>
        <w:rPr/>
      </w:pPr>
      <w:r>
        <w:rPr>
          <w:rFonts w:cs="Arial"/>
          <w:bCs/>
          <w:color w:val="000000"/>
          <w:szCs w:val="20"/>
        </w:rPr>
        <w:t>(Processo Administrativo n.° 23600.001099.2018-31)</w:t>
      </w:r>
    </w:p>
    <w:p>
      <w:pPr>
        <w:pStyle w:val="Nivel1"/>
        <w:numPr>
          <w:ilvl w:val="0"/>
          <w:numId w:val="1"/>
        </w:numPr>
        <w:ind w:left="357" w:right="0" w:hanging="357"/>
        <w:rPr/>
      </w:pPr>
      <w:r>
        <w:rPr/>
        <w:t>DO OBJETO</w:t>
      </w:r>
    </w:p>
    <w:p>
      <w:pPr>
        <w:pStyle w:val="Normal"/>
        <w:numPr>
          <w:ilvl w:val="1"/>
          <w:numId w:val="1"/>
        </w:numPr>
        <w:spacing w:lineRule="auto" w:line="276" w:before="120" w:after="120"/>
        <w:jc w:val="both"/>
        <w:rPr/>
      </w:pPr>
      <w:r>
        <w:rPr>
          <w:rFonts w:cs="Arial"/>
          <w:i w:val="false"/>
          <w:iCs w:val="false"/>
          <w:color w:val="000000"/>
          <w:szCs w:val="20"/>
        </w:rPr>
        <w:t>Contratação de serviço de fornecimento de passagens aéreas e agenciamento de viagens, conforme condições, quantidades, exigências e estimativas, inclusive as encaminhadas pelos órgãos e entidades participantes, estabelecidas neste instrumento, conforme condições, quantidades, exigências e estimativas, estabelecidas neste instrumento:</w:t>
      </w:r>
    </w:p>
    <w:tbl>
      <w:tblPr>
        <w:tblW w:w="9645" w:type="dxa"/>
        <w:jc w:val="left"/>
        <w:tblInd w:w="-5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8" w:type="dxa"/>
          <w:bottom w:w="0" w:type="dxa"/>
          <w:right w:w="108" w:type="dxa"/>
        </w:tblCellMar>
      </w:tblPr>
      <w:tblGrid>
        <w:gridCol w:w="962"/>
        <w:gridCol w:w="773"/>
        <w:gridCol w:w="4445"/>
        <w:gridCol w:w="1185"/>
        <w:gridCol w:w="2280"/>
      </w:tblGrid>
      <w:tr>
        <w:trPr/>
        <w:tc>
          <w:tcPr>
            <w:tcW w:w="9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widowControl w:val="false"/>
              <w:suppressAutoHyphens w:val="true"/>
              <w:spacing w:before="0" w:after="120"/>
              <w:jc w:val="center"/>
              <w:rPr>
                <w:rFonts w:cs="Arial"/>
                <w:b/>
                <w:b/>
                <w:bCs/>
                <w:color w:val="000000"/>
                <w:szCs w:val="20"/>
              </w:rPr>
            </w:pPr>
            <w:r>
              <w:rPr>
                <w:rFonts w:cs="Arial"/>
                <w:b/>
                <w:bCs/>
                <w:i w:val="false"/>
                <w:iCs w:val="false"/>
                <w:color w:val="000000"/>
                <w:szCs w:val="20"/>
              </w:rPr>
              <w:t xml:space="preserve">Grupo </w:t>
            </w:r>
          </w:p>
          <w:p>
            <w:pPr>
              <w:pStyle w:val="Normal"/>
              <w:widowControl w:val="false"/>
              <w:suppressAutoHyphens w:val="true"/>
              <w:spacing w:before="0" w:after="120"/>
              <w:jc w:val="center"/>
              <w:rPr>
                <w:rFonts w:cs="Arial"/>
                <w:b/>
                <w:b/>
                <w:bCs/>
                <w:i w:val="false"/>
                <w:i w:val="false"/>
                <w:iCs w:val="false"/>
                <w:color w:val="000000"/>
                <w:szCs w:val="20"/>
              </w:rPr>
            </w:pPr>
            <w:r>
              <w:rPr>
                <w:rFonts w:cs="Arial"/>
                <w:b/>
                <w:bCs/>
                <w:i w:val="false"/>
                <w:iCs w:val="false"/>
                <w:color w:val="000000"/>
                <w:szCs w:val="20"/>
              </w:rPr>
            </w:r>
          </w:p>
        </w:tc>
        <w:tc>
          <w:tcPr>
            <w:tcW w:w="7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spacing w:before="0" w:after="120"/>
              <w:jc w:val="center"/>
              <w:rPr>
                <w:b/>
                <w:b/>
                <w:bCs/>
                <w:color w:val="000000"/>
              </w:rPr>
            </w:pPr>
            <w:r>
              <w:rPr>
                <w:b/>
                <w:bCs/>
                <w:i w:val="false"/>
                <w:iCs w:val="false"/>
                <w:color w:val="000000"/>
              </w:rPr>
              <w:t xml:space="preserve">Item </w:t>
            </w:r>
          </w:p>
        </w:tc>
        <w:tc>
          <w:tcPr>
            <w:tcW w:w="4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spacing w:before="0" w:after="120"/>
              <w:jc w:val="center"/>
              <w:rPr>
                <w:rFonts w:cs="Arial"/>
                <w:b/>
                <w:b/>
                <w:bCs/>
                <w:color w:val="000000"/>
                <w:szCs w:val="20"/>
              </w:rPr>
            </w:pPr>
            <w:r>
              <w:rPr>
                <w:rFonts w:cs="Arial"/>
                <w:b/>
                <w:bCs/>
                <w:i w:val="false"/>
                <w:iCs w:val="false"/>
                <w:color w:val="000000"/>
                <w:szCs w:val="20"/>
              </w:rPr>
              <w:t>Descrição/Especificação</w:t>
            </w:r>
          </w:p>
        </w:tc>
        <w:tc>
          <w:tcPr>
            <w:tcW w:w="11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widowControl w:val="false"/>
              <w:suppressAutoHyphens w:val="true"/>
              <w:spacing w:before="0" w:after="120"/>
              <w:jc w:val="center"/>
              <w:rPr>
                <w:rFonts w:cs="Arial"/>
                <w:b/>
                <w:b/>
                <w:bCs/>
                <w:i/>
                <w:i/>
                <w:color w:val="000000"/>
                <w:szCs w:val="20"/>
              </w:rPr>
            </w:pPr>
            <w:r>
              <w:rPr>
                <w:rFonts w:cs="Arial"/>
                <w:b/>
                <w:bCs/>
                <w:i w:val="false"/>
                <w:iCs w:val="false"/>
                <w:color w:val="000000"/>
                <w:szCs w:val="20"/>
              </w:rPr>
              <w:t xml:space="preserve">Unidade </w:t>
            </w:r>
          </w:p>
        </w:tc>
        <w:tc>
          <w:tcPr>
            <w:tcW w:w="22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widowControl w:val="false"/>
              <w:suppressAutoHyphens w:val="true"/>
              <w:spacing w:before="0" w:after="120"/>
              <w:jc w:val="center"/>
              <w:rPr>
                <w:rFonts w:cs="Arial"/>
                <w:b/>
                <w:b/>
                <w:bCs/>
                <w:i/>
                <w:i/>
                <w:color w:val="000000"/>
                <w:szCs w:val="20"/>
              </w:rPr>
            </w:pPr>
            <w:r>
              <w:rPr>
                <w:rFonts w:cs="Arial"/>
                <w:b/>
                <w:bCs/>
                <w:i w:val="false"/>
                <w:iCs w:val="false"/>
                <w:color w:val="000000"/>
                <w:szCs w:val="20"/>
              </w:rPr>
              <w:t xml:space="preserve">Quant. </w:t>
            </w:r>
          </w:p>
        </w:tc>
      </w:tr>
      <w:tr>
        <w:trPr/>
        <w:tc>
          <w:tcPr>
            <w:tcW w:w="96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t>1</w:t>
            </w:r>
          </w:p>
          <w:p>
            <w:pPr>
              <w:pStyle w:val="Normal"/>
              <w:widowControl w:val="false"/>
              <w:suppressAutoHyphens w:val="true"/>
              <w:spacing w:lineRule="auto" w:line="276" w:before="0" w:after="120"/>
              <w:jc w:val="center"/>
              <w:rPr>
                <w:rFonts w:cs="Arial"/>
                <w:color w:val="000000"/>
                <w:szCs w:val="20"/>
              </w:rPr>
            </w:pPr>
            <w:r>
              <w:rPr>
                <w:rFonts w:cs="Arial"/>
                <w:color w:val="000000"/>
                <w:szCs w:val="20"/>
              </w:rPr>
            </w:r>
          </w:p>
        </w:tc>
        <w:tc>
          <w:tcPr>
            <w:tcW w:w="7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widowControl w:val="false"/>
              <w:suppressAutoHyphens w:val="true"/>
              <w:spacing w:lineRule="auto" w:line="276" w:before="0" w:after="120"/>
              <w:rPr>
                <w:rFonts w:cs="Arial"/>
                <w:color w:val="000000"/>
                <w:szCs w:val="20"/>
              </w:rPr>
            </w:pPr>
            <w:r>
              <w:rPr>
                <w:rFonts w:cs="Arial"/>
                <w:color w:val="000000"/>
                <w:szCs w:val="20"/>
              </w:rPr>
              <w:t xml:space="preserve"> </w:t>
            </w:r>
            <w:r>
              <w:rPr>
                <w:rFonts w:cs="Arial"/>
                <w:color w:val="000000"/>
                <w:szCs w:val="20"/>
              </w:rPr>
              <w:t>1</w:t>
            </w:r>
          </w:p>
        </w:tc>
        <w:tc>
          <w:tcPr>
            <w:tcW w:w="4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widowControl w:val="false"/>
              <w:suppressAutoHyphens w:val="true"/>
              <w:spacing w:lineRule="auto" w:line="276" w:before="0" w:after="120"/>
              <w:jc w:val="both"/>
              <w:rPr/>
            </w:pPr>
            <w:r>
              <w:rPr>
                <w:rFonts w:cs="Arial"/>
                <w:color w:val="000000"/>
                <w:szCs w:val="20"/>
              </w:rPr>
              <w:t>Aquisição de Passagem Aérea Nacional, de ida e volta, incluindo a taxa de embarque,</w:t>
            </w:r>
            <w:r>
              <w:rPr>
                <w:rFonts w:cs="Arial"/>
                <w:color w:val="000000"/>
                <w:szCs w:val="20"/>
              </w:rPr>
              <w:t>(trecho de referência: Petrolina – PE/Brasília -DF/Petrolina-PE</w:t>
            </w:r>
            <w:r>
              <w:rPr>
                <w:rFonts w:cs="Arial"/>
                <w:color w:val="000000"/>
                <w:szCs w:val="20"/>
              </w:rPr>
              <w:t xml:space="preserve"> </w:t>
              <w:br/>
            </w:r>
          </w:p>
        </w:tc>
        <w:tc>
          <w:tcPr>
            <w:tcW w:w="11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widowControl w:val="false"/>
              <w:suppressAutoHyphens w:val="true"/>
              <w:spacing w:lineRule="auto" w:line="276" w:before="0" w:after="120"/>
              <w:rPr>
                <w:rFonts w:cs="Arial"/>
                <w:color w:val="000000"/>
                <w:szCs w:val="20"/>
              </w:rPr>
            </w:pPr>
            <w:r>
              <w:rPr>
                <w:rFonts w:cs="Arial"/>
                <w:color w:val="000000"/>
                <w:szCs w:val="20"/>
              </w:rPr>
              <w:t xml:space="preserve">Serviço </w:t>
            </w:r>
          </w:p>
        </w:tc>
        <w:tc>
          <w:tcPr>
            <w:tcW w:w="22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widowControl w:val="false"/>
              <w:suppressAutoHyphens w:val="true"/>
              <w:spacing w:lineRule="auto" w:line="276" w:before="0" w:after="120"/>
              <w:rPr>
                <w:rFonts w:cs="Arial"/>
                <w:color w:val="000000"/>
                <w:szCs w:val="20"/>
              </w:rPr>
            </w:pPr>
            <w:r>
              <w:rPr>
                <w:rFonts w:cs="Arial"/>
                <w:color w:val="000000"/>
                <w:szCs w:val="20"/>
              </w:rPr>
              <w:t>250</w:t>
            </w:r>
          </w:p>
        </w:tc>
      </w:tr>
      <w:tr>
        <w:trPr/>
        <w:tc>
          <w:tcPr>
            <w:tcW w:w="96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rPr/>
            </w:pPr>
            <w:r>
              <w:rPr/>
            </w:r>
          </w:p>
        </w:tc>
        <w:tc>
          <w:tcPr>
            <w:tcW w:w="7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widowControl w:val="false"/>
              <w:suppressAutoHyphens w:val="true"/>
              <w:spacing w:lineRule="auto" w:line="276" w:before="0" w:after="120"/>
              <w:rPr>
                <w:rFonts w:cs="Arial"/>
                <w:color w:val="000000"/>
                <w:szCs w:val="20"/>
              </w:rPr>
            </w:pPr>
            <w:r>
              <w:rPr>
                <w:rFonts w:cs="Arial"/>
                <w:color w:val="000000"/>
                <w:szCs w:val="20"/>
              </w:rPr>
              <w:t xml:space="preserve">   </w:t>
            </w:r>
          </w:p>
          <w:p>
            <w:pPr>
              <w:pStyle w:val="Normal"/>
              <w:widowControl w:val="false"/>
              <w:suppressAutoHyphens w:val="true"/>
              <w:spacing w:lineRule="auto" w:line="276" w:before="0" w:after="120"/>
              <w:rPr>
                <w:rFonts w:cs="Arial"/>
                <w:color w:val="000000"/>
                <w:szCs w:val="20"/>
              </w:rPr>
            </w:pPr>
            <w:r>
              <w:rPr>
                <w:rFonts w:cs="Arial"/>
                <w:color w:val="000000"/>
                <w:szCs w:val="20"/>
              </w:rPr>
              <w:t xml:space="preserve"> </w:t>
            </w:r>
            <w:r>
              <w:rPr>
                <w:rFonts w:cs="Arial"/>
                <w:color w:val="000000"/>
                <w:szCs w:val="20"/>
              </w:rPr>
              <w:t>2</w:t>
            </w:r>
          </w:p>
        </w:tc>
        <w:tc>
          <w:tcPr>
            <w:tcW w:w="4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widowControl w:val="false"/>
              <w:suppressAutoHyphens w:val="true"/>
              <w:spacing w:lineRule="auto" w:line="276" w:before="0" w:after="120"/>
              <w:jc w:val="both"/>
              <w:rPr>
                <w:rFonts w:cs="Arial"/>
                <w:color w:val="000000"/>
                <w:szCs w:val="20"/>
              </w:rPr>
            </w:pPr>
            <w:r>
              <w:rPr>
                <w:rFonts w:cs="Arial"/>
                <w:color w:val="000000"/>
                <w:szCs w:val="20"/>
              </w:rPr>
              <w:t xml:space="preserve">Serviço de agenciamento de passagem Aérea Nacional, compreendendo os serviços de emissão, remarcação e cancelamento de passagens aéreas pela agência de viagens. </w:t>
              <w:br/>
            </w:r>
          </w:p>
        </w:tc>
        <w:tc>
          <w:tcPr>
            <w:tcW w:w="11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widowControl w:val="false"/>
              <w:suppressAutoHyphens w:val="true"/>
              <w:spacing w:lineRule="auto" w:line="276" w:before="0" w:after="120"/>
              <w:rPr>
                <w:rFonts w:cs="Arial"/>
                <w:color w:val="000000"/>
                <w:szCs w:val="20"/>
              </w:rPr>
            </w:pPr>
            <w:r>
              <w:rPr>
                <w:rFonts w:cs="Arial"/>
                <w:color w:val="000000"/>
                <w:szCs w:val="20"/>
              </w:rPr>
              <w:t xml:space="preserve">Serviço </w:t>
            </w:r>
          </w:p>
        </w:tc>
        <w:tc>
          <w:tcPr>
            <w:tcW w:w="22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tcPr>
          <w:p>
            <w:pPr>
              <w:pStyle w:val="Normal"/>
              <w:widowControl w:val="false"/>
              <w:suppressAutoHyphens w:val="true"/>
              <w:spacing w:lineRule="auto" w:line="276" w:before="0" w:after="120"/>
              <w:rPr/>
            </w:pPr>
            <w:r>
              <w:rPr>
                <w:rFonts w:cs="Arial"/>
                <w:color w:val="000000"/>
                <w:szCs w:val="20"/>
              </w:rPr>
              <w:t>250</w:t>
            </w:r>
          </w:p>
        </w:tc>
      </w:tr>
    </w:tbl>
    <w:p>
      <w:pPr>
        <w:pStyle w:val="Nivel1"/>
        <w:keepNext/>
        <w:keepLines/>
        <w:widowControl/>
        <w:numPr>
          <w:ilvl w:val="0"/>
          <w:numId w:val="1"/>
        </w:numPr>
        <w:overflowPunct w:val="true"/>
        <w:bidi w:val="0"/>
        <w:spacing w:lineRule="auto" w:line="276" w:before="480" w:after="120"/>
        <w:ind w:left="227" w:right="0" w:hanging="0"/>
        <w:jc w:val="both"/>
        <w:rPr/>
      </w:pPr>
      <w:r>
        <w:rPr/>
        <w:t>JUSTIFICATIVA E OBJETIVO DA CONTRATAÇÃO</w:t>
      </w:r>
    </w:p>
    <w:p>
      <w:pPr>
        <w:pStyle w:val="Normal"/>
        <w:numPr>
          <w:ilvl w:val="1"/>
          <w:numId w:val="1"/>
        </w:numPr>
        <w:spacing w:lineRule="auto" w:line="276" w:before="120" w:after="120"/>
        <w:ind w:left="425" w:right="0" w:hanging="0"/>
        <w:jc w:val="both"/>
        <w:rPr/>
      </w:pPr>
      <w:r>
        <w:rPr>
          <w:rFonts w:cs="Arial"/>
          <w:color w:val="000000"/>
          <w:szCs w:val="20"/>
        </w:rPr>
        <w:t xml:space="preserve">A contratação de serviços para agenciamento de viagens justifica-se pela necessidade de fomentar diversas ações de cunho institucional no desenvolvimento das atividades no âmbito do IFSertãoPE, atividades essas que englobam, dentre outras, ações voltadas para o andamento das atividades da gestão (encontros, reuniões e demais, e capacitação de servidores por exemplo. A contratação desse serviço é de extrema necessidade para o andamento das atividades. </w:t>
        <w:br/>
      </w:r>
    </w:p>
    <w:p>
      <w:pPr>
        <w:pStyle w:val="Normal"/>
        <w:numPr>
          <w:ilvl w:val="1"/>
          <w:numId w:val="1"/>
        </w:numPr>
        <w:spacing w:lineRule="auto" w:line="240" w:before="0" w:after="0"/>
        <w:ind w:left="425" w:right="0" w:hanging="0"/>
        <w:jc w:val="both"/>
        <w:rPr/>
      </w:pPr>
      <w:r>
        <w:rPr>
          <w:rFonts w:cs="Arial"/>
          <w:color w:val="000000"/>
          <w:szCs w:val="20"/>
        </w:rPr>
        <w:t xml:space="preserve">A contratação do objeto por adesão a Ata de Registro de Preço (“carona”) justifica-se a   pelo fato de que a MEDIDA PROVISÓRIA Nº 822, DE 1º DE MARÇO DE 2018 que Altera a Lei nº 9.430, de 27 de dezembro de 1996, perdeu a validade e os órgãos não podem mais fazer a compra diretamente no site das empresas porque os preços cobrados já têm os tributos federais embutidos e o pagamento tem de ser feito pelo valor em tela. Assim sendo a regra seria o órgão licitar, ou seja, gerenciar um procedimento licitatório, entretanto como existe uma necessidade urgente pelos serviços, a opção mais viável no momento é adesão a Ata de Registro de Preços o que encontra respaldo no Decreto Federal nº 7.892/2013.  </w:t>
      </w:r>
    </w:p>
    <w:p>
      <w:pPr>
        <w:pStyle w:val="Nivel1"/>
        <w:numPr>
          <w:ilvl w:val="0"/>
          <w:numId w:val="1"/>
        </w:numPr>
        <w:ind w:left="357" w:right="0" w:hanging="357"/>
        <w:rPr/>
      </w:pPr>
      <w:r>
        <w:rPr/>
        <w:t>DA CLASSIFICAÇÃO DOS SERVIÇOS</w:t>
      </w:r>
    </w:p>
    <w:p>
      <w:pPr>
        <w:pStyle w:val="Normal"/>
        <w:numPr>
          <w:ilvl w:val="1"/>
          <w:numId w:val="1"/>
        </w:numPr>
        <w:spacing w:lineRule="auto" w:line="276" w:before="120" w:after="120"/>
        <w:ind w:left="425" w:right="0" w:hanging="0"/>
        <w:jc w:val="both"/>
        <w:rPr/>
      </w:pPr>
      <w:r>
        <w:rPr>
          <w:rFonts w:cs="Arial"/>
          <w:color w:val="000000"/>
          <w:szCs w:val="20"/>
        </w:rPr>
        <w:t>Os serviços a serem contratados enquadram-se na categoria de bens e serviços</w:t>
        <w:br/>
        <w:t>comuns, de que trata a Lei nº 10.520/2002 e o Decreto nº 5.450/2005, por possuírem</w:t>
        <w:br/>
        <w:t>padrões de desempenho e características gerais e específicas usualmente</w:t>
        <w:br/>
        <w:t>encontradas no mercado, podendo constituir-se em objeto de Registro de Preços</w:t>
        <w:br/>
        <w:t>licitado por meio da modalidade Pregão, na forma Eletrônica.</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A prestação dos serviços não gera vínculo empregatício entre os empregados da Contratada e a Administração, vedando-se qualquer relação entre estes que caracterize pessoalidade e subordinação direta.</w:t>
      </w:r>
    </w:p>
    <w:p>
      <w:pPr>
        <w:pStyle w:val="Nivel1"/>
        <w:numPr>
          <w:ilvl w:val="0"/>
          <w:numId w:val="1"/>
        </w:numPr>
        <w:ind w:left="357" w:right="0" w:hanging="357"/>
        <w:rPr/>
      </w:pPr>
      <w:r>
        <w:rPr/>
        <w:t>FORMA DE PRESTAÇÃO DOS SERVIÇOS</w:t>
      </w:r>
    </w:p>
    <w:p>
      <w:pPr>
        <w:pStyle w:val="Normal"/>
        <w:numPr>
          <w:ilvl w:val="1"/>
          <w:numId w:val="1"/>
        </w:numPr>
        <w:spacing w:lineRule="auto" w:line="276" w:before="120" w:after="120"/>
        <w:ind w:left="425" w:right="0" w:hanging="0"/>
        <w:jc w:val="both"/>
        <w:rPr>
          <w:rFonts w:cs="Arial"/>
          <w:bCs/>
          <w:color w:val="000000"/>
          <w:szCs w:val="20"/>
        </w:rPr>
      </w:pPr>
      <w:r>
        <w:rPr>
          <w:rFonts w:cs="Arial"/>
          <w:bCs/>
          <w:color w:val="000000"/>
          <w:szCs w:val="20"/>
        </w:rPr>
        <w:t>Os serviços serão executados conforme discriminado abaixo:</w:t>
      </w:r>
    </w:p>
    <w:p>
      <w:pPr>
        <w:pStyle w:val="Normal"/>
        <w:numPr>
          <w:ilvl w:val="2"/>
          <w:numId w:val="1"/>
        </w:numPr>
        <w:spacing w:lineRule="auto" w:line="276" w:before="120" w:after="120"/>
        <w:ind w:left="1134" w:right="0" w:hanging="0"/>
        <w:jc w:val="both"/>
        <w:rPr/>
      </w:pPr>
      <w:r>
        <w:rPr>
          <w:rFonts w:eastAsia="Times New Roman" w:cs="Arial"/>
          <w:bCs/>
          <w:color w:val="000000"/>
          <w:sz w:val="20"/>
          <w:szCs w:val="20"/>
          <w:lang w:val="pt-BR" w:eastAsia="pt-BR" w:bidi="ar-SA"/>
        </w:rPr>
        <w:t>A Empresa contratada deverá providenciar reservas, emissões, entrega de</w:t>
        <w:br/>
        <w:t>bilhetes ou ordens de passagens por meio físico ou eletrônico e realizar alterações,</w:t>
        <w:br/>
        <w:t>de acordo com as requisições eletrônicas enviadas ou solicitações realizadas por</w:t>
      </w:r>
      <w:r>
        <w:rPr>
          <w:rFonts w:cs="Arial"/>
          <w:bCs/>
          <w:color w:val="FF0000"/>
          <w:szCs w:val="20"/>
        </w:rPr>
        <w:br/>
      </w:r>
      <w:r>
        <w:rPr>
          <w:rFonts w:eastAsia="Times New Roman" w:cs="Arial"/>
          <w:bCs/>
          <w:color w:val="000000"/>
          <w:sz w:val="20"/>
          <w:szCs w:val="20"/>
          <w:lang w:val="pt-BR" w:eastAsia="pt-BR" w:bidi="ar-SA"/>
        </w:rPr>
        <w:t>outros meios, fazendo uso necessariamente, do valor da tarifa aérea de menor</w:t>
        <w:br/>
        <w:t>custo, para passagens nacionais e internacionais.</w:t>
      </w:r>
    </w:p>
    <w:p>
      <w:pPr>
        <w:pStyle w:val="Normal"/>
        <w:numPr>
          <w:ilvl w:val="2"/>
          <w:numId w:val="1"/>
        </w:numPr>
        <w:spacing w:lineRule="auto" w:line="276" w:before="120" w:after="120"/>
        <w:ind w:left="1134"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As emissões dos bilhetes aéreos, somente serão finalizadas após cotação</w:t>
        <w:br/>
        <w:t>realizada em todas as companhias aéreas, que atendam ao trecho solicitado,</w:t>
        <w:br/>
        <w:t>preferencialmente em viagens sem escalas e/ou conexões, conforme aprovação do</w:t>
        <w:br/>
        <w:t>órgão gerenciador e órgãos participantes.</w:t>
      </w:r>
    </w:p>
    <w:p>
      <w:pPr>
        <w:pStyle w:val="Normal"/>
        <w:widowControl/>
        <w:numPr>
          <w:ilvl w:val="2"/>
          <w:numId w:val="1"/>
        </w:numPr>
        <w:bidi w:val="0"/>
        <w:spacing w:lineRule="auto" w:line="276" w:before="120" w:after="120"/>
        <w:ind w:left="1928"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A confirmação da emissão de passagens aéreas deverá ser enviada aos usuários, com cópia para o Setor Financeiro do Contratante, no prazo estipulado a seguir:</w:t>
      </w:r>
    </w:p>
    <w:p>
      <w:pPr>
        <w:pStyle w:val="Normal"/>
        <w:widowControl/>
        <w:overflowPunct w:val="true"/>
        <w:bidi w:val="0"/>
        <w:spacing w:lineRule="auto" w:line="276" w:before="120" w:after="120"/>
        <w:ind w:left="2891" w:right="0" w:hanging="0"/>
        <w:jc w:val="both"/>
        <w:rPr/>
      </w:pPr>
      <w:r>
        <w:rPr>
          <w:rFonts w:cs="Arial"/>
          <w:bCs/>
          <w:color w:val="000000"/>
          <w:szCs w:val="20"/>
        </w:rPr>
        <w:t>4</w:t>
      </w:r>
      <w:r>
        <w:rPr>
          <w:rFonts w:eastAsia="Times New Roman" w:cs="Arial"/>
          <w:bCs/>
          <w:color w:val="000000"/>
          <w:sz w:val="20"/>
          <w:szCs w:val="20"/>
          <w:lang w:val="pt-BR" w:eastAsia="pt-BR" w:bidi="ar-SA"/>
        </w:rPr>
        <w:t>.1.3.1 Demandas Urgentes (prazo de solicitação menor</w:t>
        <w:br/>
        <w:t>ou igual a um dia, incluídos os finais de semana e feriados): Cotação – em até 01 hora após o recebimento da demanda. Emissão – em até 1 hora após o recebimento da autorização por meio de sistema eletrônico ou contato telefônico dos servidores autorizados pelo órgão gerenciador e órgãos participantes.</w:t>
      </w:r>
    </w:p>
    <w:p>
      <w:pPr>
        <w:pStyle w:val="Normal"/>
        <w:widowControl/>
        <w:bidi w:val="0"/>
        <w:spacing w:lineRule="auto" w:line="276" w:before="120" w:after="120"/>
        <w:ind w:left="1781"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4.1.3.2 Demandas Regulares (prazo superior a um dia):</w:t>
        <w:br/>
        <w:t>Cotação – em até 03 (três) horas após o recebimento da</w:t>
        <w:br/>
        <w:t>demanda. Emissão – em até 03 (três) horas após o</w:t>
        <w:br/>
        <w:t>recebimento da autorização por meio de sistema eletrônico</w:t>
        <w:br/>
        <w:t>ou contato telefônico dos servidores autorizados pelo</w:t>
        <w:br/>
        <w:t>órgão.</w:t>
      </w:r>
    </w:p>
    <w:p>
      <w:pPr>
        <w:pStyle w:val="Normal"/>
        <w:widowControl/>
        <w:numPr>
          <w:ilvl w:val="2"/>
          <w:numId w:val="1"/>
        </w:numPr>
        <w:bidi w:val="0"/>
        <w:spacing w:lineRule="auto" w:line="276" w:before="120" w:after="120"/>
        <w:ind w:left="1928"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Os dados sobre o embarque devem ser transmitidos aos interessados em tempo hábil para efetivação do embarque, conforme regras definidas pela empresa de transporte e agência reguladora.</w:t>
      </w:r>
    </w:p>
    <w:p>
      <w:pPr>
        <w:pStyle w:val="Normal"/>
        <w:widowControl/>
        <w:numPr>
          <w:ilvl w:val="2"/>
          <w:numId w:val="1"/>
        </w:numPr>
        <w:bidi w:val="0"/>
        <w:spacing w:lineRule="auto" w:line="276" w:before="120" w:after="120"/>
        <w:ind w:left="1928"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Os prazos são considerados no período compreendido entre 09 h e 17 h dos dias úteis.</w:t>
      </w:r>
    </w:p>
    <w:p>
      <w:pPr>
        <w:pStyle w:val="Normal"/>
        <w:widowControl/>
        <w:numPr>
          <w:ilvl w:val="2"/>
          <w:numId w:val="1"/>
        </w:numPr>
        <w:bidi w:val="0"/>
        <w:spacing w:lineRule="auto" w:line="276" w:before="120" w:after="120"/>
        <w:ind w:left="1928"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Para a execução dos serviços, a empresa Contratada deverá dispor de uma agência matriz ou filial capaz de dar todo o suporte técnico-operacional das atividades relacionadas, apto a utilizar o sistema eletrônico, adotado pelo</w:t>
        <w:br/>
        <w:t xml:space="preserve">Contratante e demais equipamentos/ mobiliários necessários e suficientes para a prestação dos serviços contratados, para a obtenção das facilidades abaixo: </w:t>
      </w:r>
    </w:p>
    <w:p>
      <w:pPr>
        <w:pStyle w:val="Normal"/>
        <w:widowControl/>
        <w:overflowPunct w:val="true"/>
        <w:bidi w:val="0"/>
        <w:spacing w:lineRule="auto" w:line="276" w:before="120" w:after="120"/>
        <w:ind w:left="2721" w:right="0" w:hanging="0"/>
        <w:jc w:val="both"/>
        <w:rPr/>
      </w:pPr>
      <w:r>
        <w:rPr>
          <w:rFonts w:eastAsia="Times New Roman" w:cs="Arial"/>
          <w:bCs/>
          <w:color w:val="000000"/>
          <w:sz w:val="20"/>
          <w:szCs w:val="20"/>
          <w:lang w:val="pt-BR" w:eastAsia="pt-BR" w:bidi="ar-SA"/>
        </w:rPr>
        <w:t>4.1.6.1. execução de reserva automatizada, “on-line” e</w:t>
        <w:br/>
        <w:t>emissão de seu comprovante;</w:t>
        <w:br/>
        <w:t>4.1.6.2. emissão de bilhetes automatizados, “on-line”;</w:t>
        <w:br/>
        <w:t>4.1.6.3. consulta e informação de melhor rota ou percurso,</w:t>
        <w:br/>
        <w:t>“on-line”;</w:t>
        <w:br/>
        <w:t>4.1.6.4. consulta à menor tarifa disponível, “on-line”;</w:t>
        <w:br/>
        <w:t>4.1.6.4. impressão de consultas formuladas;</w:t>
        <w:br/>
        <w:t>4.1.6.5. alteração/remarcação de bilhetes; e</w:t>
        <w:br/>
        <w:t xml:space="preserve">4.1.6.6. combinação de tarifa. </w:t>
        <w:br/>
      </w:r>
      <w:r>
        <w:rPr>
          <w:rFonts w:cs="Arial"/>
          <w:bCs/>
          <w:color w:val="FF0000"/>
          <w:szCs w:val="20"/>
        </w:rPr>
        <w:br/>
        <w:t xml:space="preserve"> </w:t>
      </w:r>
    </w:p>
    <w:p>
      <w:pPr>
        <w:pStyle w:val="Normal"/>
        <w:numPr>
          <w:ilvl w:val="2"/>
          <w:numId w:val="1"/>
        </w:numPr>
        <w:spacing w:lineRule="auto" w:line="276" w:before="120" w:after="120"/>
        <w:ind w:left="1134"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A CONTRATADA deverá indicar um(a) funcionário(a) para atender os</w:t>
        <w:br/>
        <w:t>casos excepcionais e urgentes, disponibilizando para o CONTRATANTE, plantão</w:t>
        <w:br/>
        <w:t>de telefones fixos e celulares, durante 24 (vinte e quatro) horas, possibilitando</w:t>
        <w:br/>
        <w:t>efetiva solução para eventuais problemas decorrentes da prestação dos serviços do</w:t>
        <w:br/>
        <w:t xml:space="preserve">objeto deste termo, bem como para dar suporte a atendimentos emergenciais. </w:t>
      </w:r>
    </w:p>
    <w:p>
      <w:pPr>
        <w:pStyle w:val="Normal"/>
        <w:numPr>
          <w:ilvl w:val="2"/>
          <w:numId w:val="1"/>
        </w:numPr>
        <w:spacing w:lineRule="auto" w:line="276" w:before="120" w:after="120"/>
        <w:ind w:left="1134"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A CONTRATADA deverá informar em até 48 horas após a assinatura do</w:t>
        <w:br/>
        <w:t>contrato, os números de telefones visando atendimento aos servidores e militares</w:t>
        <w:br/>
        <w:t>do órgão gerenciador e órgãos participantes, bem como número de telefone</w:t>
        <w:br/>
        <w:t xml:space="preserve">exclusivo para os Gestores do Contrato indicados pela CONTRATANTE. </w:t>
      </w:r>
    </w:p>
    <w:p>
      <w:pPr>
        <w:pStyle w:val="Normal"/>
        <w:numPr>
          <w:ilvl w:val="2"/>
          <w:numId w:val="1"/>
        </w:numPr>
        <w:spacing w:lineRule="auto" w:line="276" w:before="120" w:after="120"/>
        <w:ind w:left="1134"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 xml:space="preserve">Efetuar o endosso de passagem, respeitando o regulamento das companhias. </w:t>
      </w:r>
    </w:p>
    <w:p>
      <w:pPr>
        <w:pStyle w:val="Normal"/>
        <w:numPr>
          <w:ilvl w:val="2"/>
          <w:numId w:val="1"/>
        </w:numPr>
        <w:spacing w:lineRule="auto" w:line="276" w:before="120" w:after="120"/>
        <w:ind w:left="1134"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Repassar integralmente todos os descontos promocionais de tarifas</w:t>
        <w:br/>
        <w:t>reduzidas, concedidos pelas companhias aéreas.</w:t>
      </w:r>
    </w:p>
    <w:p>
      <w:pPr>
        <w:pStyle w:val="Normal"/>
        <w:numPr>
          <w:ilvl w:val="2"/>
          <w:numId w:val="1"/>
        </w:numPr>
        <w:spacing w:lineRule="auto" w:line="276" w:before="120" w:after="12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 xml:space="preserve"> </w:t>
      </w:r>
      <w:r>
        <w:rPr>
          <w:rFonts w:eastAsia="Times New Roman" w:cs="Arial"/>
          <w:bCs/>
          <w:color w:val="000000"/>
          <w:sz w:val="20"/>
          <w:szCs w:val="20"/>
          <w:lang w:val="pt-BR" w:eastAsia="pt-BR" w:bidi="ar-SA"/>
        </w:rPr>
        <w:t>Fornecer, à CONTRATANTE, a comprovação dos valores vigentes das</w:t>
        <w:br/>
        <w:t xml:space="preserve">tarifas à data da emissão das passagens, por companhia aérea. </w:t>
      </w:r>
    </w:p>
    <w:p>
      <w:pPr>
        <w:pStyle w:val="Normal"/>
        <w:numPr>
          <w:ilvl w:val="2"/>
          <w:numId w:val="1"/>
        </w:numPr>
        <w:spacing w:lineRule="auto" w:line="276" w:before="120" w:after="120"/>
        <w:jc w:val="both"/>
        <w:rPr/>
      </w:pPr>
      <w:r>
        <w:rPr>
          <w:rFonts w:eastAsia="Times New Roman" w:cs="Arial"/>
          <w:bCs/>
          <w:color w:val="000000"/>
          <w:sz w:val="20"/>
          <w:szCs w:val="20"/>
          <w:lang w:val="pt-BR" w:eastAsia="pt-BR" w:bidi="ar-SA"/>
        </w:rPr>
        <w:t>Os preços unitários para as passagens aéreas e taxas de embarque são os</w:t>
        <w:br/>
        <w:t>registrados na Agência Nacional de Aviação Civil (ANAC) ou que faça parte do</w:t>
        <w:br/>
        <w:t>Programa de Redução das Tarifas da Infraestrutura Aeronáutica ou ainda que seja produto de acordo de companhias aéreas com o CONTRATANTE, considerados também todos os descontos comerciais e promocionais disponíveis</w:t>
      </w:r>
      <w:r>
        <w:rPr>
          <w:rFonts w:cs="Arial"/>
          <w:bCs/>
          <w:color w:val="FF0000"/>
          <w:szCs w:val="20"/>
        </w:rPr>
        <w:t xml:space="preserve"> </w:t>
      </w:r>
      <w:r>
        <w:rPr>
          <w:rFonts w:cs="Arial"/>
          <w:bCs/>
          <w:color w:val="000000"/>
          <w:szCs w:val="20"/>
        </w:rPr>
        <w:t>no mercado.</w:t>
      </w:r>
    </w:p>
    <w:p>
      <w:pPr>
        <w:pStyle w:val="Normal"/>
        <w:numPr>
          <w:ilvl w:val="2"/>
          <w:numId w:val="1"/>
        </w:numPr>
        <w:spacing w:lineRule="auto" w:line="276" w:before="120" w:after="120"/>
        <w:jc w:val="both"/>
        <w:rPr>
          <w:color w:val="000000"/>
        </w:rPr>
      </w:pPr>
      <w:r>
        <w:rPr>
          <w:rFonts w:cs="Arial"/>
          <w:bCs/>
          <w:color w:val="000000"/>
          <w:szCs w:val="20"/>
        </w:rPr>
        <w:t>As passagens aéreas pagas e não utilizadas, total ou parcialmente pelo</w:t>
        <w:br/>
        <w:t>CONTRATANTE, serão reembolsadas por meio de Notas de Crédito que deverão</w:t>
        <w:br/>
        <w:t xml:space="preserve">ser enviadas no prazo máximo de 60 dias após o cancelamento do bilhete. </w:t>
      </w:r>
    </w:p>
    <w:p>
      <w:pPr>
        <w:pStyle w:val="Normal"/>
        <w:numPr>
          <w:ilvl w:val="2"/>
          <w:numId w:val="1"/>
        </w:numPr>
        <w:spacing w:lineRule="auto" w:line="276" w:before="120" w:after="120"/>
        <w:jc w:val="both"/>
        <w:rPr>
          <w:rFonts w:cs="Arial"/>
          <w:bCs/>
          <w:color w:val="000000"/>
          <w:szCs w:val="20"/>
        </w:rPr>
      </w:pPr>
      <w:r>
        <w:rPr>
          <w:rFonts w:cs="Arial"/>
          <w:bCs/>
          <w:color w:val="000000"/>
          <w:szCs w:val="20"/>
        </w:rPr>
        <w:t>Caso a CONTRATADA não observe o prazo disposto no subitem 4.1.13, o</w:t>
        <w:br/>
        <w:t>CONTRATANTE poderá glosar do montante dos valores devidos, limitados ao</w:t>
        <w:br/>
        <w:t>valor da fatura.</w:t>
      </w:r>
    </w:p>
    <w:p>
      <w:pPr>
        <w:pStyle w:val="Normal"/>
        <w:numPr>
          <w:ilvl w:val="2"/>
          <w:numId w:val="1"/>
        </w:numPr>
        <w:spacing w:lineRule="auto" w:line="276" w:before="120" w:after="120"/>
        <w:jc w:val="both"/>
        <w:rPr>
          <w:rFonts w:cs="Arial"/>
          <w:bCs/>
          <w:color w:val="000000"/>
          <w:szCs w:val="20"/>
        </w:rPr>
      </w:pPr>
      <w:r>
        <w:rPr>
          <w:rFonts w:cs="Arial"/>
          <w:bCs/>
          <w:color w:val="000000"/>
          <w:szCs w:val="20"/>
        </w:rPr>
        <w:t>Caso haja divergências entre o valor glosado e o valor efetivamente</w:t>
        <w:br/>
        <w:t>devido, descontadas as taxas e multas, desde que comprovadas pela</w:t>
        <w:br/>
        <w:t xml:space="preserve">CONTRATADA, o acerto será realizado na fatura subsequente. </w:t>
      </w:r>
    </w:p>
    <w:p>
      <w:pPr>
        <w:pStyle w:val="Normal"/>
        <w:numPr>
          <w:ilvl w:val="2"/>
          <w:numId w:val="1"/>
        </w:numPr>
        <w:spacing w:lineRule="auto" w:line="276" w:before="120" w:after="120"/>
        <w:jc w:val="both"/>
        <w:rPr>
          <w:rFonts w:cs="Arial"/>
          <w:bCs/>
          <w:color w:val="000000"/>
          <w:szCs w:val="20"/>
        </w:rPr>
      </w:pPr>
      <w:r>
        <w:rPr>
          <w:rFonts w:cs="Arial"/>
          <w:bCs/>
          <w:color w:val="000000"/>
          <w:szCs w:val="20"/>
        </w:rPr>
        <w:t>É expressamente vedada à CONTRATADA a concessão de reembolso ao</w:t>
        <w:br/>
        <w:t xml:space="preserve">usuário da passagem. </w:t>
      </w:r>
    </w:p>
    <w:p>
      <w:pPr>
        <w:pStyle w:val="Nivel1"/>
        <w:numPr>
          <w:ilvl w:val="0"/>
          <w:numId w:val="1"/>
        </w:numPr>
        <w:ind w:left="357" w:right="0" w:hanging="357"/>
        <w:rPr/>
      </w:pPr>
      <w:r>
        <w:rPr/>
        <w:t>METODOLOGIA DE AVALIAÇÃO DA EXECUÇÃO DOS SERVIÇOS.</w:t>
      </w:r>
    </w:p>
    <w:p>
      <w:pPr>
        <w:pStyle w:val="Normal"/>
        <w:numPr>
          <w:ilvl w:val="1"/>
          <w:numId w:val="1"/>
        </w:numPr>
        <w:spacing w:lineRule="auto" w:line="276" w:before="120" w:after="120"/>
        <w:ind w:left="425" w:right="0" w:hanging="0"/>
        <w:jc w:val="both"/>
        <w:rPr>
          <w:rFonts w:cs="Arial"/>
          <w:bCs/>
          <w:color w:val="000000"/>
          <w:szCs w:val="20"/>
        </w:rPr>
      </w:pPr>
      <w:r>
        <w:rPr>
          <w:rFonts w:cs="Arial"/>
          <w:bCs/>
          <w:color w:val="000000"/>
          <w:szCs w:val="20"/>
        </w:rPr>
        <w:t>O serviço será avaliado de forma factível quando da materialização do</w:t>
        <w:br/>
        <w:t>fornecimento das passagens.</w:t>
      </w:r>
    </w:p>
    <w:p>
      <w:pPr>
        <w:pStyle w:val="Nivel1"/>
        <w:ind w:left="717" w:right="0" w:hanging="0"/>
        <w:rPr/>
      </w:pPr>
      <w:r>
        <w:rPr/>
        <w:t>6. MATERIAIS A SEREM DISPONIBILIZADOS</w:t>
      </w:r>
    </w:p>
    <w:p>
      <w:pPr>
        <w:pStyle w:val="ListParagraph"/>
        <w:spacing w:lineRule="auto" w:line="276" w:before="120" w:after="120"/>
        <w:ind w:left="1505" w:right="0" w:hanging="0"/>
        <w:contextualSpacing/>
        <w:jc w:val="both"/>
        <w:rPr>
          <w:rFonts w:cs="Arial"/>
          <w:bCs/>
          <w:color w:val="000000"/>
          <w:szCs w:val="20"/>
        </w:rPr>
      </w:pPr>
      <w:r>
        <w:rPr>
          <w:rFonts w:cs="Arial"/>
          <w:bCs/>
          <w:color w:val="000000"/>
          <w:szCs w:val="20"/>
        </w:rPr>
        <w:t>6.1. Para a perfeita execução dos serviços, a Contratada deverá disponibilizar os materiais, equipamentos, ferramentas e utensílios necessários, nas quantidades estimadas e qualidades a seguir estabelecidas, promovendo sua substituição quando necessário.</w:t>
      </w:r>
    </w:p>
    <w:p>
      <w:pPr>
        <w:pStyle w:val="Nivel1"/>
        <w:numPr>
          <w:ilvl w:val="0"/>
          <w:numId w:val="2"/>
        </w:numPr>
        <w:rPr/>
      </w:pPr>
      <w:r>
        <w:rPr/>
        <w:t xml:space="preserve">DO INÍCIO DA EXECUÇÃO DOS SERVIÇOS </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A execução dos serviços será iniciada em até 2 (duas) horas após a contratada</w:t>
        <w:br/>
        <w:t>receber a Nota de Empenho.</w:t>
      </w:r>
    </w:p>
    <w:p>
      <w:pPr>
        <w:pStyle w:val="Normal"/>
        <w:widowControl/>
        <w:bidi w:val="0"/>
        <w:spacing w:lineRule="auto" w:line="276" w:before="120" w:after="120"/>
        <w:ind w:left="2024" w:right="0" w:hanging="0"/>
        <w:jc w:val="both"/>
        <w:rPr>
          <w:rFonts w:cs="Arial"/>
          <w:color w:val="000000"/>
          <w:szCs w:val="20"/>
        </w:rPr>
      </w:pPr>
      <w:r>
        <w:rPr>
          <w:rFonts w:cs="Arial"/>
          <w:color w:val="000000"/>
          <w:szCs w:val="20"/>
        </w:rPr>
        <w:t>9.2. Os serviços serão recebidos provisoriamente no prazo de 7 (sete) dias, pelo(a) responsável pelo acompanhamento e fiscalização do contrato, para efeito de posterior verificação de sua conformidade com as especificações constantes neste Termo de Referência e na proposta.</w:t>
      </w:r>
    </w:p>
    <w:p>
      <w:pPr>
        <w:pStyle w:val="Normal"/>
        <w:widowControl/>
        <w:bidi w:val="0"/>
        <w:spacing w:lineRule="auto" w:line="276" w:before="120" w:after="120"/>
        <w:ind w:left="2080" w:right="0" w:hanging="0"/>
        <w:jc w:val="both"/>
        <w:rPr>
          <w:rFonts w:cs="Arial"/>
          <w:color w:val="000000"/>
          <w:szCs w:val="20"/>
        </w:rPr>
      </w:pPr>
      <w:r>
        <w:rPr>
          <w:rFonts w:cs="Arial"/>
          <w:color w:val="000000"/>
          <w:szCs w:val="20"/>
        </w:rPr>
        <w:t>9.3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Normal"/>
        <w:widowControl/>
        <w:bidi w:val="0"/>
        <w:spacing w:lineRule="auto" w:line="276" w:before="120" w:after="120"/>
        <w:ind w:left="2080" w:right="0" w:hanging="0"/>
        <w:jc w:val="both"/>
        <w:rPr>
          <w:rFonts w:cs="Arial"/>
          <w:color w:val="000000"/>
          <w:szCs w:val="20"/>
        </w:rPr>
      </w:pPr>
      <w:r>
        <w:rPr>
          <w:rFonts w:cs="Arial"/>
          <w:color w:val="000000"/>
          <w:szCs w:val="20"/>
        </w:rPr>
        <w:t>9.4. Os serviços serão recebidos definitivamente no prazo de 15 (quinze) dias,</w:t>
        <w:br/>
        <w:t>contados do recebimento provisório, após a verificação da qualidade e quantidade do serviço executado e materiais empregados, com a consequente aceitação mediante termo circunstanciado.</w:t>
      </w:r>
    </w:p>
    <w:p>
      <w:pPr>
        <w:pStyle w:val="Normal"/>
        <w:widowControl/>
        <w:bidi w:val="0"/>
        <w:spacing w:lineRule="auto" w:line="276" w:before="0" w:after="0"/>
        <w:ind w:left="2080" w:right="0" w:hanging="0"/>
        <w:jc w:val="both"/>
        <w:rPr>
          <w:rFonts w:cs="Arial"/>
          <w:color w:val="000000"/>
          <w:szCs w:val="20"/>
        </w:rPr>
      </w:pPr>
      <w:r>
        <w:rPr>
          <w:rFonts w:cs="Arial"/>
          <w:color w:val="000000"/>
          <w:szCs w:val="20"/>
        </w:rPr>
        <w:t>9.5. Na hipótese de a verificação a que se refere o subitem anterior não ser</w:t>
        <w:br/>
        <w:t>procedida dentro do prazo fixado, reputar-se-á como realizada, consumando-se o recebimento definitivo no dia do esgotamento do prazo.</w:t>
      </w:r>
    </w:p>
    <w:p>
      <w:pPr>
        <w:pStyle w:val="Normal"/>
        <w:widowControl/>
        <w:bidi w:val="0"/>
        <w:spacing w:lineRule="auto" w:line="276" w:before="0" w:after="0"/>
        <w:ind w:left="2080" w:right="0" w:hanging="0"/>
        <w:jc w:val="both"/>
        <w:rPr>
          <w:rFonts w:cs="Arial"/>
          <w:color w:val="000000"/>
          <w:szCs w:val="20"/>
        </w:rPr>
      </w:pPr>
      <w:r>
        <w:rPr>
          <w:rFonts w:cs="Arial"/>
          <w:color w:val="000000"/>
          <w:szCs w:val="20"/>
        </w:rPr>
        <w:br/>
        <w:t>7.6. O recebimento provisório ou definitivo do objeto não exclui a responsabilidade da Contratada pelos prejuízos resultantes da incorreta execução do contrato.</w:t>
      </w:r>
    </w:p>
    <w:p>
      <w:pPr>
        <w:pStyle w:val="Nivel1"/>
        <w:numPr>
          <w:ilvl w:val="0"/>
          <w:numId w:val="2"/>
        </w:numPr>
        <w:ind w:left="357" w:right="0" w:hanging="357"/>
        <w:rPr>
          <w:highlight w:val="yellow"/>
          <w:lang w:eastAsia="en-US"/>
        </w:rPr>
      </w:pPr>
      <w:r>
        <w:rPr>
          <w:lang w:eastAsia="en-US"/>
        </w:rPr>
        <w:t xml:space="preserve">OBRIGAÇÕES DA CONTRATANTE </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Exigir o cumprimento de todas as obrigações assumidas pela Contratada, de acordo com as cláusulas contratuais e os termos de sua proposta;</w:t>
      </w:r>
    </w:p>
    <w:p>
      <w:pPr>
        <w:pStyle w:val="Normal"/>
        <w:numPr>
          <w:ilvl w:val="1"/>
          <w:numId w:val="2"/>
        </w:numPr>
        <w:spacing w:lineRule="auto" w:line="276" w:before="120" w:after="120"/>
        <w:ind w:left="425" w:right="0" w:hanging="0"/>
        <w:jc w:val="both"/>
        <w:rPr/>
      </w:pPr>
      <w:r>
        <w:rPr>
          <w:rFonts w:cs="Arial"/>
          <w:color w:val="000000"/>
          <w:szCs w:val="20"/>
        </w:rPr>
        <w:t xml:space="preserve">receber o objeto no prazo e condições estabelecidas no Edital e seus anexos; </w:t>
      </w:r>
    </w:p>
    <w:p>
      <w:pPr>
        <w:pStyle w:val="Normal"/>
        <w:numPr>
          <w:ilvl w:val="1"/>
          <w:numId w:val="2"/>
        </w:numPr>
        <w:spacing w:lineRule="auto" w:line="276" w:before="120" w:after="120"/>
        <w:ind w:left="425" w:right="0" w:hanging="0"/>
        <w:jc w:val="both"/>
        <w:rPr/>
      </w:pPr>
      <w:r>
        <w:rPr>
          <w:rFonts w:cs="Arial"/>
          <w:color w:val="000000"/>
          <w:szCs w:val="20"/>
        </w:rPr>
        <w:t>verificar minuciosamente, no prazo fixado, a conformidade dos bens</w:t>
        <w:br/>
        <w:t>recebidos provisoriamente com as especificações constantes do Edital e da</w:t>
        <w:br/>
        <w:t>proposta, para fins de aceitação e recebimento definitivo;</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realizar pesquisas nas companhias aéreas, bem como solicitar e verificar a</w:t>
        <w:br/>
        <w:t>pesquisa de preços das passagens feitas pela CONTRATADA, comparando-os</w:t>
        <w:br/>
        <w:t>com os praticados no mercado e inserindo-as em sistema próprio;</w:t>
      </w:r>
    </w:p>
    <w:p>
      <w:pPr>
        <w:pStyle w:val="Normal"/>
        <w:numPr>
          <w:ilvl w:val="1"/>
          <w:numId w:val="2"/>
        </w:numPr>
        <w:spacing w:lineRule="auto" w:line="276" w:before="120" w:after="120"/>
        <w:ind w:left="425" w:right="0" w:hanging="0"/>
        <w:jc w:val="both"/>
        <w:rPr/>
      </w:pPr>
      <w:r>
        <w:rPr>
          <w:rFonts w:cs="Arial"/>
          <w:color w:val="000000"/>
          <w:szCs w:val="20"/>
        </w:rPr>
        <w:t xml:space="preserve">exercer o acompanhamento e a fiscalização dos serviços, </w:t>
      </w:r>
      <w:r>
        <w:rPr>
          <w:rFonts w:cs="Arial"/>
          <w:color w:val="000000"/>
          <w:szCs w:val="20"/>
        </w:rPr>
        <w:t>por servidor especialmente designado</w:t>
      </w:r>
      <w:r>
        <w:rPr>
          <w:rFonts w:cs="Arial"/>
          <w:color w:val="000000"/>
          <w:szCs w:val="20"/>
        </w:rPr>
        <w:t>, anotando em registro próprio as falhas detectadas, indicando dia, mês e ano, bem como o nome dos empregados eventualmente envolvidos, e encaminhando os apontamentos à autoridade competente para as providências cabíveis;</w:t>
      </w:r>
    </w:p>
    <w:p>
      <w:pPr>
        <w:pStyle w:val="Normal"/>
        <w:numPr>
          <w:ilvl w:val="1"/>
          <w:numId w:val="2"/>
        </w:numPr>
        <w:spacing w:lineRule="auto" w:line="276" w:before="120" w:after="120"/>
        <w:ind w:left="425" w:right="0" w:hanging="0"/>
        <w:jc w:val="both"/>
        <w:rPr/>
      </w:pPr>
      <w:r>
        <w:rPr>
          <w:rFonts w:cs="Arial"/>
          <w:color w:val="000000"/>
          <w:szCs w:val="20"/>
        </w:rPr>
        <w:t>solicitar formalmente à CONTRATADA, no caso de não utilização de</w:t>
        <w:br/>
        <w:t>bilhete de passagem, em seu percurso total ou parcial, o reembolso do valor</w:t>
        <w:br/>
        <w:t>correspondente ao trecho (crédito), situação em que a CONTRATADA deverá</w:t>
        <w:br/>
        <w:t>emitir a correspondente Nota de Crédito que, por medida de simplificação</w:t>
      </w:r>
      <w:r>
        <w:rPr>
          <w:rFonts w:cs="Arial"/>
          <w:color w:val="000000"/>
          <w:szCs w:val="20"/>
          <w:highlight w:val="yellow"/>
        </w:rPr>
        <w:br/>
      </w:r>
      <w:r>
        <w:rPr>
          <w:rFonts w:cs="Arial"/>
          <w:color w:val="000000"/>
          <w:szCs w:val="20"/>
        </w:rPr>
        <w:t>processual, poderá se dar mediante glosa dos valores respectivos na própria fatura</w:t>
        <w:br/>
        <w:t>mensal apresentada pela CONTRATADA, devendo ser observado o respectivo</w:t>
        <w:br/>
        <w:t>Programa de Trabalho e Unidade Gestora Responsável;</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quando da efetuação da glosa, eventuais multas aplicadas pelas companhias</w:t>
        <w:br/>
        <w:t>aéreas em razão do cancelamento das passagens não utilizadas deverão ser</w:t>
        <w:br/>
        <w:t>consideradas;</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os valores não processados na fatura relativa ao mês da ocorrência deverão</w:t>
        <w:br/>
        <w:t xml:space="preserve">ser processados na próxima fatura emitida pela CONTRATADA; </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Notificar a Contratada por escrito da ocorrência de eventuais imperfeições no curso da execução dos serviços, fixando prazo para a sua correção;</w:t>
      </w:r>
    </w:p>
    <w:p>
      <w:pPr>
        <w:pStyle w:val="Normal"/>
        <w:numPr>
          <w:ilvl w:val="1"/>
          <w:numId w:val="2"/>
        </w:numPr>
        <w:spacing w:lineRule="auto" w:line="276" w:before="120" w:after="120"/>
        <w:ind w:left="425" w:right="0" w:hanging="0"/>
        <w:jc w:val="both"/>
        <w:rPr/>
      </w:pPr>
      <w:r>
        <w:rPr>
          <w:rFonts w:cs="Arial"/>
          <w:color w:val="000000"/>
          <w:szCs w:val="20"/>
        </w:rPr>
        <w:t>Pagar à Contratada o valor resultante da prestação do serviço, no prazo e condições estabelecidas no Edital e seus anexos;</w:t>
      </w:r>
    </w:p>
    <w:p>
      <w:pPr>
        <w:pStyle w:val="Normal"/>
        <w:numPr>
          <w:ilvl w:val="1"/>
          <w:numId w:val="2"/>
        </w:numPr>
        <w:spacing w:lineRule="auto" w:line="276" w:before="120" w:after="120"/>
        <w:ind w:left="425" w:right="0" w:hanging="0"/>
        <w:jc w:val="both"/>
        <w:rPr/>
      </w:pPr>
      <w:r>
        <w:rPr>
          <w:rFonts w:cs="Arial"/>
          <w:color w:val="000000"/>
          <w:szCs w:val="20"/>
        </w:rPr>
        <w:t>efetuar o pagamento à Contratada no valor correspondente ao</w:t>
        <w:br/>
        <w:t xml:space="preserve">fornecimento do objeto, no prazo e forma estabelecidos no Edital e seus anexos; </w:t>
      </w:r>
    </w:p>
    <w:p>
      <w:pPr>
        <w:pStyle w:val="Normal"/>
        <w:numPr>
          <w:ilvl w:val="1"/>
          <w:numId w:val="2"/>
        </w:numPr>
        <w:spacing w:lineRule="auto" w:line="276" w:before="120" w:after="120"/>
        <w:ind w:left="425" w:right="0" w:firstLine="1"/>
        <w:jc w:val="both"/>
        <w:rPr>
          <w:rFonts w:cs="Arial"/>
          <w:szCs w:val="20"/>
        </w:rPr>
      </w:pPr>
      <w:r>
        <w:rPr>
          <w:rFonts w:cs="Arial"/>
          <w:szCs w:val="20"/>
        </w:rPr>
        <w:t xml:space="preserve">Efetuar as retenções tributárias devidas sobre o valor da Nota Fiscal/Fatura fornecida pela contratada, em conformidade com o item 6, ANEXO XI, da IN nº 05/2017. </w:t>
      </w:r>
    </w:p>
    <w:p>
      <w:pPr>
        <w:pStyle w:val="Normal"/>
        <w:numPr>
          <w:ilvl w:val="1"/>
          <w:numId w:val="2"/>
        </w:numPr>
        <w:spacing w:lineRule="auto" w:line="276" w:before="120" w:after="120"/>
        <w:ind w:left="425" w:right="0" w:firstLine="1"/>
        <w:jc w:val="both"/>
        <w:rPr/>
      </w:pPr>
      <w:r>
        <w:rPr>
          <w:rFonts w:cs="Arial"/>
          <w:szCs w:val="20"/>
        </w:rPr>
        <w:t>quando do encerramento ou rescisão contratual, na impossibilidade de</w:t>
      </w:r>
      <w:r>
        <w:rPr>
          <w:rFonts w:cs="Arial"/>
          <w:szCs w:val="20"/>
          <w:highlight w:val="yellow"/>
        </w:rPr>
        <w:br/>
      </w:r>
      <w:r>
        <w:rPr>
          <w:rFonts w:cs="Arial"/>
          <w:szCs w:val="20"/>
        </w:rPr>
        <w:t>reversão da totalidade dos cancelamentos efetuados, o montante a ser glosado</w:t>
        <w:br/>
        <w:t>poderá ser deduzido da garantia apresentada na contratação, ou ser reembolsado</w:t>
        <w:br/>
        <w:t>ao órgão ou entidade, mediante recolhimento do valor respectivo por meio de</w:t>
        <w:br/>
        <w:t>Guia de Recolhimento da União (GRU);</w:t>
      </w:r>
    </w:p>
    <w:p>
      <w:pPr>
        <w:pStyle w:val="Normal"/>
        <w:numPr>
          <w:ilvl w:val="1"/>
          <w:numId w:val="2"/>
        </w:numPr>
        <w:spacing w:lineRule="auto" w:line="276" w:before="120" w:after="120"/>
        <w:ind w:left="425" w:right="0" w:firstLine="1"/>
        <w:jc w:val="both"/>
        <w:rPr>
          <w:rFonts w:cs="Arial"/>
          <w:szCs w:val="20"/>
        </w:rPr>
      </w:pPr>
      <w:r>
        <w:rPr>
          <w:rFonts w:cs="Arial"/>
          <w:szCs w:val="20"/>
        </w:rPr>
        <w:t>solicitar a comprovação do valor das tarifas à data de emissão das</w:t>
        <w:br/>
        <w:t>passagens;</w:t>
      </w:r>
    </w:p>
    <w:p>
      <w:pPr>
        <w:pStyle w:val="Normal"/>
        <w:numPr>
          <w:ilvl w:val="1"/>
          <w:numId w:val="2"/>
        </w:numPr>
        <w:spacing w:lineRule="auto" w:line="276" w:before="120" w:after="120"/>
        <w:ind w:left="425" w:right="0" w:hanging="0"/>
        <w:jc w:val="both"/>
        <w:rPr/>
      </w:pPr>
      <w:r>
        <w:rPr>
          <w:rFonts w:cs="Arial"/>
          <w:color w:val="000000"/>
          <w:szCs w:val="20"/>
        </w:rPr>
        <w:t>A Administração realizará pesquisa de preços periodicamente, em prazo não superior a 180 (cento e oitenta) dias, a fim de verificar a vantajosidade dos preços registrados em Ata.</w:t>
      </w:r>
    </w:p>
    <w:p>
      <w:pPr>
        <w:pStyle w:val="Nivel1"/>
        <w:numPr>
          <w:ilvl w:val="0"/>
          <w:numId w:val="2"/>
        </w:numPr>
        <w:ind w:left="357" w:right="0" w:hanging="357"/>
        <w:rPr/>
      </w:pPr>
      <w:r>
        <w:rPr/>
        <w:t>OBRIGAÇÕES DA CONTRATADA</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Utilizar empregados habilitados e com conhecimentos básicos dos serviços a serem executados, em conformidade com as normas e determinações em vigor;</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Apresentar os empregados devidamente uniformizados e identificados por meio de crachá, além de provê-los com os Equipamentos de Proteção Individual - EPI, quando for o caso;</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Apresentar à Contratante, quando for o caso, a relação nominal dos empregados que adentrarão o órgão para a execução do serviço;</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Responsabilizar-se por todas as obrigações trabalhistas, sociais, previdenciárias, tributárias e as demais previstas  em legislação específica, cuja inadimplência não transfere responsabilidade à Contratante;</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Instruir seus empregados quanto à necessidade de acatar as normas internas da Administração;</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Relatar à Contratante toda e qualquer irregularidade verificada no decorrer da prestação dos serviços;</w:t>
      </w:r>
    </w:p>
    <w:p>
      <w:pPr>
        <w:pStyle w:val="Normal"/>
        <w:numPr>
          <w:ilvl w:val="1"/>
          <w:numId w:val="2"/>
        </w:numPr>
        <w:spacing w:lineRule="auto" w:line="276" w:before="120" w:after="120"/>
        <w:ind w:left="425" w:right="0" w:hanging="0"/>
        <w:jc w:val="both"/>
        <w:rPr>
          <w:rFonts w:cs="Times New Roman"/>
          <w:color w:val="000000"/>
          <w:szCs w:val="20"/>
        </w:rPr>
      </w:pPr>
      <w:r>
        <w:rPr>
          <w:rFonts w:cs="Times New Roman"/>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numPr>
          <w:ilvl w:val="1"/>
          <w:numId w:val="2"/>
        </w:numPr>
        <w:spacing w:lineRule="auto" w:line="276" w:before="120" w:after="120"/>
        <w:ind w:left="425" w:right="0" w:hanging="0"/>
        <w:jc w:val="both"/>
        <w:rPr>
          <w:rFonts w:cs="Times New Roman"/>
          <w:color w:val="000000"/>
          <w:szCs w:val="20"/>
        </w:rPr>
      </w:pPr>
      <w:r>
        <w:rPr>
          <w:rFonts w:cs="Times New Roman"/>
          <w:color w:val="000000"/>
          <w:szCs w:val="20"/>
        </w:rPr>
        <w:t xml:space="preserve"> </w:t>
      </w:r>
      <w:r>
        <w:rPr>
          <w:rFonts w:cs="Times New Roman"/>
          <w:color w:val="000000"/>
          <w:szCs w:val="20"/>
        </w:rPr>
        <w:t>Manter durante toda a vigência do contrato, em compatibilidade com as obrigações assumidas, todas as condições de habilitação e qualificação exigidas na licitação;</w:t>
      </w:r>
    </w:p>
    <w:p>
      <w:pPr>
        <w:pStyle w:val="Normal"/>
        <w:numPr>
          <w:ilvl w:val="1"/>
          <w:numId w:val="2"/>
        </w:numPr>
        <w:spacing w:lineRule="auto" w:line="276" w:before="120" w:after="120"/>
        <w:ind w:left="425" w:right="0" w:hanging="0"/>
        <w:jc w:val="both"/>
        <w:rPr>
          <w:rFonts w:cs="Times New Roman"/>
          <w:color w:val="000000"/>
          <w:szCs w:val="20"/>
        </w:rPr>
      </w:pPr>
      <w:r>
        <w:rPr>
          <w:rFonts w:cs="Times New Roman"/>
          <w:color w:val="000000"/>
          <w:szCs w:val="20"/>
        </w:rPr>
        <w:t>Guardar sigilo sobre todas as informações obtidas em decorrência do cumprimento do contrato;</w:t>
      </w:r>
    </w:p>
    <w:p>
      <w:pPr>
        <w:pStyle w:val="Normal"/>
        <w:numPr>
          <w:ilvl w:val="1"/>
          <w:numId w:val="2"/>
        </w:numPr>
        <w:spacing w:lineRule="auto" w:line="276" w:before="120" w:after="120"/>
        <w:ind w:left="425" w:right="0" w:hanging="0"/>
        <w:jc w:val="both"/>
        <w:rPr>
          <w:rFonts w:cs="Times New Roman"/>
          <w:color w:val="000000"/>
          <w:szCs w:val="20"/>
        </w:rPr>
      </w:pPr>
      <w:r>
        <w:rPr>
          <w:rFonts w:cs="Times New Roman"/>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pPr>
        <w:pStyle w:val="Normal"/>
        <w:spacing w:lineRule="auto" w:line="276" w:before="120" w:after="120"/>
        <w:ind w:left="425" w:right="0" w:hanging="0"/>
        <w:jc w:val="both"/>
        <w:rPr/>
      </w:pPr>
      <w:r>
        <w:rPr>
          <w:rFonts w:cs="Times New Roman"/>
          <w:color w:val="000000"/>
          <w:szCs w:val="20"/>
        </w:rPr>
        <w:t>11.15</w:t>
        <w:tab/>
        <w:t>Deter instalações, aparelhamento e pessoal técnico adequados e disponíveis para a realização do objeto da licitação.</w:t>
      </w:r>
    </w:p>
    <w:p>
      <w:pPr>
        <w:pStyle w:val="Normal"/>
        <w:spacing w:lineRule="auto" w:line="276" w:before="120" w:after="120"/>
        <w:ind w:left="425" w:right="0" w:hanging="0"/>
        <w:jc w:val="both"/>
        <w:rPr/>
      </w:pPr>
      <w:r>
        <w:rPr>
          <w:rFonts w:cs="Times New Roman"/>
          <w:color w:val="000000"/>
          <w:szCs w:val="20"/>
        </w:rPr>
        <w:t>11.16. Estar Cadastrada no SISTEMA DE CONCESSÃO DE DIÁRIAS E</w:t>
        <w:br/>
        <w:t>PASSAGENS – SCDP, previamente a sua efetiva utilização. Não está autorizada</w:t>
        <w:br/>
        <w:t>a aquisição de passagens aéreas em empresas de agenciamento que não estejam</w:t>
        <w:br/>
        <w:t>cadastradas no SCDP, conforme OFÍCIO CIRCULAR 582-2017-MPDG.</w:t>
      </w:r>
    </w:p>
    <w:p>
      <w:pPr>
        <w:pStyle w:val="Nivel1"/>
        <w:numPr>
          <w:ilvl w:val="0"/>
          <w:numId w:val="2"/>
        </w:numPr>
        <w:ind w:left="357" w:right="0" w:hanging="357"/>
        <w:rPr>
          <w:i/>
          <w:i/>
          <w:color w:val="000000"/>
        </w:rPr>
      </w:pPr>
      <w:r>
        <w:rPr>
          <w:i w:val="false"/>
          <w:iCs w:val="false"/>
          <w:color w:val="000000"/>
        </w:rPr>
        <w:t>DA SUBCONTRATAÇÃO</w:t>
      </w:r>
    </w:p>
    <w:p>
      <w:pPr>
        <w:pStyle w:val="ListParagraph"/>
        <w:numPr>
          <w:ilvl w:val="1"/>
          <w:numId w:val="2"/>
        </w:numPr>
        <w:spacing w:lineRule="auto" w:line="276" w:before="120" w:after="120"/>
        <w:contextualSpacing/>
        <w:jc w:val="both"/>
        <w:rPr>
          <w:color w:val="000000"/>
        </w:rPr>
      </w:pPr>
      <w:r>
        <w:rPr>
          <w:rFonts w:cs="Arial"/>
          <w:i w:val="false"/>
          <w:iCs w:val="false"/>
          <w:color w:val="000000"/>
          <w:szCs w:val="20"/>
        </w:rPr>
        <w:t xml:space="preserve"> </w:t>
      </w:r>
      <w:r>
        <w:rPr>
          <w:rFonts w:cs="Times New Roman"/>
          <w:i w:val="false"/>
          <w:iCs w:val="false"/>
          <w:color w:val="000000"/>
          <w:szCs w:val="20"/>
        </w:rPr>
        <w:t>Não será admitida a subcontratação do objeto licitatório.</w:t>
      </w:r>
    </w:p>
    <w:p>
      <w:pPr>
        <w:pStyle w:val="Nivel1"/>
        <w:numPr>
          <w:ilvl w:val="0"/>
          <w:numId w:val="0"/>
        </w:numPr>
        <w:ind w:left="540" w:right="0" w:hanging="0"/>
        <w:rPr/>
      </w:pPr>
      <w:r>
        <w:rPr>
          <w:lang w:eastAsia="en-US"/>
        </w:rPr>
        <w:t>13. ALTERAÇÃO SUBJETIVA</w:t>
      </w:r>
    </w:p>
    <w:p>
      <w:pPr>
        <w:pStyle w:val="Normal"/>
        <w:spacing w:lineRule="auto" w:line="276" w:before="120" w:after="120"/>
        <w:ind w:left="425" w:right="0" w:hanging="0"/>
        <w:jc w:val="both"/>
        <w:rPr/>
      </w:pPr>
      <w:r>
        <w:rPr>
          <w:rFonts w:cs="Arial"/>
          <w:szCs w:val="20"/>
          <w:lang w:eastAsia="en-US"/>
        </w:rPr>
        <w:t>13.1 É admissível a fusão, cisão ou incorporação da contratada com/por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auto" w:line="276" w:before="120" w:after="120"/>
        <w:ind w:left="425" w:right="0" w:hanging="0"/>
        <w:jc w:val="both"/>
        <w:rPr>
          <w:rFonts w:cs="Arial"/>
          <w:b/>
          <w:b/>
          <w:bCs/>
          <w:szCs w:val="20"/>
          <w:lang w:eastAsia="en-US"/>
        </w:rPr>
      </w:pPr>
      <w:r>
        <w:rPr>
          <w:rFonts w:cs="Arial"/>
          <w:b/>
          <w:bCs/>
          <w:szCs w:val="20"/>
          <w:lang w:eastAsia="en-US"/>
        </w:rPr>
        <w:t>14. DO PAGAMENTO</w:t>
      </w:r>
    </w:p>
    <w:p>
      <w:pPr>
        <w:pStyle w:val="Normal"/>
        <w:spacing w:lineRule="auto" w:line="276" w:before="120" w:after="120"/>
        <w:ind w:left="425" w:right="0" w:hanging="0"/>
        <w:jc w:val="both"/>
        <w:rPr/>
      </w:pPr>
      <w:r>
        <w:rPr>
          <w:rFonts w:cs="Arial"/>
          <w:szCs w:val="20"/>
          <w:lang w:eastAsia="en-US"/>
        </w:rPr>
        <w:t>14.1. O pagamento será realizado no prazo máximo de até 30 (trinta) dias, contados</w:t>
        <w:br/>
        <w:t>a partir da data final do período de adimplemento a que se referir, através de ordem</w:t>
        <w:br/>
        <w:t>bancária, para crédito em banco, agência e conta-corrente indicado pelo contratado.</w:t>
      </w:r>
    </w:p>
    <w:p>
      <w:pPr>
        <w:pStyle w:val="Normal"/>
        <w:spacing w:lineRule="auto" w:line="276" w:before="0" w:after="0"/>
        <w:ind w:left="425" w:right="0" w:hanging="0"/>
        <w:jc w:val="both"/>
        <w:rPr/>
      </w:pPr>
      <w:r>
        <w:rPr>
          <w:rFonts w:cs="Arial"/>
          <w:szCs w:val="20"/>
          <w:lang w:eastAsia="en-US"/>
        </w:rPr>
        <w:t>14.2. Os pagamentos decorrentes de despesas cujos valores não ultrapassem o limite</w:t>
        <w:br/>
        <w:t>de que trata o inciso II do art. 24 da Lei 8.666, de 1993, deverão ser efetuados no</w:t>
        <w:br/>
        <w:t>prazo de até 5 (cinco) dias úteis, contados da data da apresentação da Nota Fiscal,</w:t>
        <w:br/>
        <w:t>nos termos do art. 5º, § 3º, da Lei nº 8.666, de 1993.</w:t>
      </w:r>
    </w:p>
    <w:p>
      <w:pPr>
        <w:pStyle w:val="Normal"/>
        <w:spacing w:lineRule="auto" w:line="276" w:before="0" w:after="0"/>
        <w:ind w:left="567" w:right="0" w:hanging="0"/>
        <w:jc w:val="both"/>
        <w:rPr/>
      </w:pPr>
      <w:r>
        <w:rPr>
          <w:rFonts w:cs="Arial"/>
          <w:szCs w:val="20"/>
          <w:lang w:eastAsia="en-US"/>
        </w:rPr>
        <w:br/>
        <w:t>14.3. O pagamento somente será autorizado depois de efetuado o “atesto” pelo</w:t>
        <w:br/>
        <w:t>servidor competente na nota fiscal apresentada.</w:t>
      </w:r>
    </w:p>
    <w:p>
      <w:pPr>
        <w:pStyle w:val="Normal"/>
        <w:spacing w:lineRule="auto" w:line="276" w:before="120" w:after="120"/>
        <w:ind w:left="425" w:right="0" w:hanging="0"/>
        <w:jc w:val="both"/>
        <w:rPr/>
      </w:pPr>
      <w:r>
        <w:rPr>
          <w:rFonts w:cs="Arial"/>
          <w:szCs w:val="20"/>
          <w:lang w:eastAsia="en-US"/>
        </w:rPr>
        <w:t>14.4. Havendo erro na apresentação da Nota Fiscal ou dos documentos pertinentes à</w:t>
        <w:br/>
        <w:t>contratação, ou, ainda, circunstância que impeça a liquidação da despesa, como, por</w:t>
        <w:br/>
        <w:t>exemplo, obrigação financeira pendente, decorrente de penalidade imposta ou</w:t>
        <w:br/>
        <w:t>inadimplência, o pagamento ficará sobrestado até que a Contratada providencie as</w:t>
        <w:br/>
        <w:t>medidas saneadoras. Nesta hipótese, o prazo para pagamento iniciar-se-á após a</w:t>
        <w:br/>
        <w:t>comprovação da regularização da situação, não acarretando qualquer ônus para a</w:t>
        <w:br/>
        <w:t>Contratante.</w:t>
      </w:r>
    </w:p>
    <w:p>
      <w:pPr>
        <w:pStyle w:val="Normal"/>
        <w:spacing w:lineRule="auto" w:line="276" w:before="120" w:after="120"/>
        <w:ind w:left="425" w:right="0" w:hanging="0"/>
        <w:jc w:val="both"/>
        <w:rPr/>
      </w:pPr>
      <w:r>
        <w:rPr>
          <w:rFonts w:cs="Arial"/>
          <w:szCs w:val="20"/>
          <w:lang w:eastAsia="en-US"/>
        </w:rPr>
        <w:t>14.5. Nos termos do artigo 36, § 6°, da Instrução Normativa SLTI/MPOG n° 02, de</w:t>
        <w:br/>
        <w:t>2008, será efetuada a retenção ou glosa no pagamento, proporcional à irregularidade</w:t>
        <w:br/>
        <w:t>verificada, sem prejuízo das sanções cabíveis, caso se constate que a Contratada:</w:t>
      </w:r>
    </w:p>
    <w:p>
      <w:pPr>
        <w:pStyle w:val="Normal"/>
        <w:spacing w:lineRule="auto" w:line="276" w:before="120" w:after="120"/>
        <w:ind w:left="425" w:right="0" w:hanging="0"/>
        <w:jc w:val="both"/>
        <w:rPr/>
      </w:pPr>
      <w:r>
        <w:rPr>
          <w:rFonts w:cs="Arial"/>
          <w:szCs w:val="20"/>
          <w:lang w:eastAsia="en-US"/>
        </w:rPr>
        <w:t>14.5.1. não produziu os resultados acordados;</w:t>
      </w:r>
    </w:p>
    <w:p>
      <w:pPr>
        <w:pStyle w:val="Normal"/>
        <w:spacing w:lineRule="auto" w:line="276" w:before="120" w:after="120"/>
        <w:ind w:left="425" w:right="0" w:hanging="0"/>
        <w:jc w:val="both"/>
        <w:rPr/>
      </w:pPr>
      <w:r>
        <w:rPr>
          <w:rFonts w:cs="Arial"/>
          <w:szCs w:val="20"/>
          <w:lang w:eastAsia="en-US"/>
        </w:rPr>
        <w:br/>
        <w:t>14.5.2. deixou de executar as atividades contratadas, ou não as executou com a</w:t>
        <w:br/>
        <w:t>qualidade mínima exigida;</w:t>
      </w:r>
    </w:p>
    <w:p>
      <w:pPr>
        <w:pStyle w:val="Normal"/>
        <w:spacing w:lineRule="auto" w:line="276" w:before="120" w:after="120"/>
        <w:ind w:left="425" w:right="0" w:hanging="0"/>
        <w:jc w:val="both"/>
        <w:rPr/>
      </w:pPr>
      <w:r>
        <w:rPr>
          <w:rFonts w:cs="Arial"/>
          <w:szCs w:val="20"/>
          <w:lang w:eastAsia="en-US"/>
        </w:rPr>
        <w:t>14.5.3. deixou de utilizar os materiais e recursos humanos exigidos para a</w:t>
        <w:br/>
        <w:t>execução do serviço, ou utilizou-os com qualidade ou quantidade inferior à</w:t>
        <w:br/>
        <w:t>demandada.</w:t>
      </w:r>
    </w:p>
    <w:p>
      <w:pPr>
        <w:pStyle w:val="Normal"/>
        <w:spacing w:lineRule="auto" w:line="276" w:before="120" w:after="120"/>
        <w:ind w:left="425" w:right="0" w:hanging="0"/>
        <w:jc w:val="both"/>
        <w:rPr/>
      </w:pPr>
      <w:r>
        <w:rPr>
          <w:rFonts w:cs="Arial"/>
          <w:szCs w:val="20"/>
          <w:lang w:eastAsia="en-US"/>
        </w:rPr>
        <w:t>14.6. Será considerada data do pagamento o dia em que constar como emitida a</w:t>
        <w:br/>
        <w:t>ordem bancária para pagamento.</w:t>
      </w:r>
    </w:p>
    <w:p>
      <w:pPr>
        <w:pStyle w:val="Normal"/>
        <w:spacing w:lineRule="auto" w:line="276" w:before="0" w:after="0"/>
        <w:ind w:left="425" w:right="0" w:hanging="0"/>
        <w:jc w:val="both"/>
        <w:rPr/>
      </w:pPr>
      <w:r>
        <w:rPr>
          <w:rFonts w:cs="Arial"/>
          <w:szCs w:val="20"/>
          <w:lang w:eastAsia="en-US"/>
        </w:rPr>
        <w:t>14.7. Antes de cada pagamento à contratada, será realizada consulta ao SICAF para</w:t>
        <w:br/>
        <w:t>verificar a manutenção das condições de habilitação exigidas no edital.</w:t>
      </w:r>
    </w:p>
    <w:p>
      <w:pPr>
        <w:pStyle w:val="Normal"/>
        <w:spacing w:lineRule="auto" w:line="276" w:before="0" w:after="0"/>
        <w:ind w:left="425" w:right="0" w:hanging="0"/>
        <w:jc w:val="both"/>
        <w:rPr>
          <w:rFonts w:cs="Arial"/>
          <w:szCs w:val="20"/>
          <w:lang w:eastAsia="en-US"/>
        </w:rPr>
      </w:pPr>
      <w:r>
        <w:rPr>
          <w:rFonts w:cs="Arial"/>
          <w:szCs w:val="20"/>
          <w:lang w:eastAsia="en-US"/>
        </w:rPr>
      </w:r>
    </w:p>
    <w:p>
      <w:pPr>
        <w:pStyle w:val="Normal"/>
        <w:spacing w:lineRule="auto" w:line="276" w:before="0" w:after="0"/>
        <w:ind w:left="425" w:right="0" w:hanging="0"/>
        <w:jc w:val="both"/>
        <w:rPr/>
      </w:pPr>
      <w:r>
        <w:rPr>
          <w:rFonts w:cs="Arial"/>
          <w:szCs w:val="20"/>
          <w:lang w:eastAsia="en-US"/>
        </w:rPr>
        <w:t>14.8. Constatando-se, junto ao SICAF, a situação de irregularidade da contratada,</w:t>
        <w:br/>
        <w:t>será providenciada sua advertência, por escrito, para que, no prazo de 5 (cinco) dias,</w:t>
        <w:br/>
        <w:t>regularize sua situação ou, no mesmo prazo, apresente sua defesa. O prazo poderá</w:t>
        <w:br/>
        <w:t>ser prorrogado uma vez, por igual período, a critério da contratante.</w:t>
      </w:r>
    </w:p>
    <w:p>
      <w:pPr>
        <w:pStyle w:val="Normal"/>
        <w:spacing w:lineRule="auto" w:line="276" w:before="0" w:after="0"/>
        <w:ind w:left="425" w:right="0" w:hanging="0"/>
        <w:jc w:val="both"/>
        <w:rPr>
          <w:rFonts w:cs="Arial"/>
          <w:szCs w:val="20"/>
          <w:lang w:eastAsia="en-US"/>
        </w:rPr>
      </w:pPr>
      <w:r>
        <w:rPr>
          <w:rFonts w:cs="Arial"/>
          <w:szCs w:val="20"/>
          <w:lang w:eastAsia="en-US"/>
        </w:rPr>
      </w:r>
    </w:p>
    <w:p>
      <w:pPr>
        <w:pStyle w:val="Normal"/>
        <w:spacing w:lineRule="auto" w:line="276" w:before="0" w:after="0"/>
        <w:ind w:left="425" w:right="0" w:hanging="0"/>
        <w:jc w:val="both"/>
        <w:rPr/>
      </w:pPr>
      <w:r>
        <w:rPr>
          <w:rFonts w:cs="Arial"/>
          <w:szCs w:val="20"/>
          <w:lang w:eastAsia="en-US"/>
        </w:rPr>
        <w:t>14.9. Não havendo regularização ou sendo a defesa considerada improcedente, a</w:t>
        <w:br/>
        <w:t>contratante deverá comunicar aos órgãos responsáveis pela fiscalização da</w:t>
        <w:br/>
        <w:t>regularidade fiscal quanto à inadimplência da contratada, bem como quanto à</w:t>
        <w:br/>
        <w:t>existência de pagamento a ser efetuado, para que sejam acionados os meios</w:t>
        <w:br/>
        <w:t>pertinentes e necessários para garantir o recebimento de seus créditos.</w:t>
      </w:r>
    </w:p>
    <w:p>
      <w:pPr>
        <w:pStyle w:val="Normal"/>
        <w:spacing w:lineRule="auto" w:line="276" w:before="0" w:after="0"/>
        <w:ind w:left="425" w:right="0" w:hanging="0"/>
        <w:jc w:val="both"/>
        <w:rPr/>
      </w:pPr>
      <w:r>
        <w:rPr>
          <w:rFonts w:cs="Arial"/>
          <w:szCs w:val="20"/>
          <w:lang w:eastAsia="en-US"/>
        </w:rPr>
        <w:t>14.10. Persistindo a irregularidade, a contratante deverá adotar as medidas</w:t>
        <w:br/>
        <w:t>necessárias à rescisão contratual nos autos do processo administrativo</w:t>
        <w:br/>
        <w:t>correspondente, assegurada à contratada a ampla defesa.</w:t>
      </w:r>
    </w:p>
    <w:p>
      <w:pPr>
        <w:pStyle w:val="Normal"/>
        <w:spacing w:lineRule="auto" w:line="276" w:before="0" w:after="0"/>
        <w:ind w:left="425" w:right="0" w:hanging="0"/>
        <w:jc w:val="both"/>
        <w:rPr>
          <w:rFonts w:cs="Arial"/>
          <w:szCs w:val="20"/>
          <w:lang w:eastAsia="en-US"/>
        </w:rPr>
      </w:pPr>
      <w:r>
        <w:rPr>
          <w:rFonts w:cs="Arial"/>
          <w:szCs w:val="20"/>
          <w:lang w:eastAsia="en-US"/>
        </w:rPr>
      </w:r>
    </w:p>
    <w:p>
      <w:pPr>
        <w:pStyle w:val="Normal"/>
        <w:spacing w:lineRule="auto" w:line="276" w:before="0" w:after="0"/>
        <w:ind w:left="425" w:right="0" w:hanging="0"/>
        <w:jc w:val="both"/>
        <w:rPr/>
      </w:pPr>
      <w:r>
        <w:rPr>
          <w:rFonts w:cs="Arial"/>
          <w:szCs w:val="20"/>
          <w:lang w:eastAsia="en-US"/>
        </w:rPr>
        <w:t>14.11. Havendo a efetiva execução do objeto, os pagamentos serão realizados</w:t>
        <w:br/>
        <w:t>normalmente, até que se decida pela rescisão do contrato, caso a contratada não</w:t>
        <w:br/>
        <w:t>regularize sua situação junto ao SICAF.</w:t>
      </w:r>
    </w:p>
    <w:p>
      <w:pPr>
        <w:pStyle w:val="Normal"/>
        <w:spacing w:lineRule="auto" w:line="276" w:before="0" w:after="0"/>
        <w:ind w:left="425" w:right="0" w:hanging="0"/>
        <w:jc w:val="both"/>
        <w:rPr>
          <w:rFonts w:cs="Arial"/>
          <w:szCs w:val="20"/>
          <w:lang w:eastAsia="en-US"/>
        </w:rPr>
      </w:pPr>
      <w:r>
        <w:rPr>
          <w:rFonts w:cs="Arial"/>
          <w:szCs w:val="20"/>
          <w:lang w:eastAsia="en-US"/>
        </w:rPr>
      </w:r>
    </w:p>
    <w:p>
      <w:pPr>
        <w:pStyle w:val="Normal"/>
        <w:spacing w:lineRule="auto" w:line="276" w:before="0" w:after="0"/>
        <w:ind w:left="425" w:right="0" w:hanging="0"/>
        <w:jc w:val="both"/>
        <w:rPr/>
      </w:pPr>
      <w:r>
        <w:rPr>
          <w:rFonts w:cs="Arial"/>
          <w:szCs w:val="20"/>
          <w:lang w:eastAsia="en-US"/>
        </w:rPr>
        <w:t>14.12. Somente por motivo de economicidade, segurança nacional ou outro interesse</w:t>
        <w:br/>
        <w:t>público de alta relevância, devidamente justificado, em qualquer caso, pela máxima</w:t>
        <w:br/>
        <w:t>autoridade da contratante, não será rescindido o contrato em execução com a</w:t>
        <w:br/>
        <w:t>contratada inadimplente no SICAF.</w:t>
      </w:r>
    </w:p>
    <w:p>
      <w:pPr>
        <w:pStyle w:val="Normal"/>
        <w:spacing w:lineRule="auto" w:line="276" w:before="0" w:after="0"/>
        <w:ind w:left="425" w:right="0" w:hanging="0"/>
        <w:jc w:val="both"/>
        <w:rPr>
          <w:rFonts w:cs="Arial"/>
          <w:szCs w:val="20"/>
          <w:lang w:eastAsia="en-US"/>
        </w:rPr>
      </w:pPr>
      <w:r>
        <w:rPr>
          <w:rFonts w:cs="Arial"/>
          <w:szCs w:val="20"/>
          <w:lang w:eastAsia="en-US"/>
        </w:rPr>
      </w:r>
    </w:p>
    <w:p>
      <w:pPr>
        <w:pStyle w:val="Normal"/>
        <w:spacing w:lineRule="auto" w:line="276" w:before="0" w:after="0"/>
        <w:ind w:left="425" w:right="0" w:hanging="0"/>
        <w:jc w:val="both"/>
        <w:rPr/>
      </w:pPr>
      <w:r>
        <w:rPr>
          <w:rFonts w:cs="Arial"/>
          <w:szCs w:val="20"/>
          <w:lang w:eastAsia="en-US"/>
        </w:rPr>
        <w:t>14.13. Quando do pagamento, será efetuada a retenção tributária prevista na</w:t>
        <w:br/>
        <w:t>legislação aplicável.</w:t>
      </w:r>
    </w:p>
    <w:p>
      <w:pPr>
        <w:pStyle w:val="Normal"/>
        <w:spacing w:lineRule="auto" w:line="276" w:before="0" w:after="0"/>
        <w:ind w:left="425" w:right="0" w:hanging="0"/>
        <w:jc w:val="both"/>
        <w:rPr/>
      </w:pPr>
      <w:r>
        <w:rPr>
          <w:rFonts w:cs="Arial"/>
          <w:szCs w:val="20"/>
          <w:lang w:eastAsia="en-US"/>
        </w:rPr>
        <w:br/>
        <w:t>14.4. A Contratada regularmente optante pelo Simples Nacional, nos termos da Lei</w:t>
        <w:br/>
        <w:t>Complementar nº 123, de 2006, não sofrerá a retenção tributária quanto aos</w:t>
        <w:br/>
        <w:t>impostos e contribuições abrangidos por aquele regime. No entanto, o pagamento</w:t>
        <w:br/>
        <w:t>ficará condicionado à apresentação de comprovação, por meio de documento oficial,</w:t>
        <w:br/>
        <w:t>de que faz jus ao tratamento tributário favorecido previsto na referida Lei</w:t>
        <w:br/>
        <w:t>Complementar.</w:t>
      </w:r>
    </w:p>
    <w:p>
      <w:pPr>
        <w:pStyle w:val="Nivel1"/>
        <w:numPr>
          <w:ilvl w:val="0"/>
          <w:numId w:val="0"/>
        </w:numPr>
        <w:ind w:left="540" w:right="0" w:hanging="0"/>
        <w:rPr/>
      </w:pPr>
      <w:r>
        <w:rPr>
          <w:lang w:eastAsia="en-US"/>
        </w:rPr>
        <w:t>15. CONTROLE E FISCALIZAÇÃO DA EXECUÇÃO</w:t>
      </w:r>
    </w:p>
    <w:p>
      <w:pPr>
        <w:pStyle w:val="Normal"/>
        <w:jc w:val="both"/>
        <w:rPr/>
      </w:pPr>
      <w:r>
        <w:rPr>
          <w:lang w:eastAsia="en-US"/>
        </w:rPr>
        <w:t>15.1. Nos termos do art. 67 Lei nº 8.666, de 1993, será designado representante para</w:t>
        <w:br/>
        <w:t>acompanhar e fiscalizar a entrega dos bens, anotando em registro próprio todas as</w:t>
        <w:br/>
        <w:t>ocorrências relacionadas com a execução e determinando o que for necessário à</w:t>
        <w:br/>
        <w:t>regularização de falhas ou defeitos observados.</w:t>
      </w:r>
    </w:p>
    <w:p>
      <w:pPr>
        <w:pStyle w:val="Normal"/>
        <w:jc w:val="both"/>
        <w:rPr>
          <w:lang w:eastAsia="en-US"/>
        </w:rPr>
      </w:pPr>
      <w:r>
        <w:rPr>
          <w:lang w:eastAsia="en-US"/>
        </w:rPr>
      </w:r>
    </w:p>
    <w:p>
      <w:pPr>
        <w:pStyle w:val="Normal"/>
        <w:jc w:val="both"/>
        <w:rPr/>
      </w:pPr>
      <w:r>
        <w:rPr>
          <w:lang w:eastAsia="en-US"/>
        </w:rPr>
        <w:t>15.2. O recebimento de material de valor superior a R$ 80.000,00 (oitenta mil reais)</w:t>
        <w:br/>
        <w:t>será confiado a uma comissão de, no mínimo, 3 (três) membros, designados pela</w:t>
        <w:br/>
        <w:t>autoridade competente.</w:t>
      </w:r>
    </w:p>
    <w:p>
      <w:pPr>
        <w:pStyle w:val="Normal"/>
        <w:jc w:val="both"/>
        <w:rPr/>
      </w:pPr>
      <w:r>
        <w:rPr>
          <w:lang w:eastAsia="en-US"/>
        </w:rPr>
        <w:br/>
        <w:t>15.3. A fiscalização de que trata este item não exclui nem reduz a responsabilidade</w:t>
        <w:br/>
        <w:t>da Contratada, inclusive perante terceiros, por qualquer irregularidade, ainda que</w:t>
        <w:br/>
        <w:t>resultante de imperfeições técnicas ou vícios redibitórios, e, na ocorrência desta, não  implica em corresponsabilidade da Administração ou de seus agentes e prepostos, de</w:t>
        <w:br/>
        <w:t>conformidade com o art. 70 da Lei nº 8.666, de 1993.</w:t>
      </w:r>
    </w:p>
    <w:p>
      <w:pPr>
        <w:pStyle w:val="Normal"/>
        <w:jc w:val="both"/>
        <w:rPr/>
      </w:pPr>
      <w:r>
        <w:rPr>
          <w:lang w:eastAsia="en-US"/>
        </w:rPr>
        <w:br/>
        <w:t>15.4. O representante da Administração anotará em registro próprio todas as</w:t>
        <w:br/>
        <w:t>ocorrências relacionadas com a execução do contrato, indicando dia, mês e ano, bem</w:t>
        <w:br/>
        <w:t>como o nome dos funcionários eventualmente envolvidos, determinando o que for</w:t>
        <w:br/>
        <w:t>necessário à regularização das falhas ou defeitos observados e encaminhando os</w:t>
        <w:br/>
        <w:t xml:space="preserve">apontamentos à autoridade competente para as providências cabíveis. </w:t>
        <w:br/>
      </w:r>
    </w:p>
    <w:p>
      <w:pPr>
        <w:pStyle w:val="Normal"/>
        <w:spacing w:lineRule="auto" w:line="276" w:before="120" w:after="120"/>
        <w:ind w:left="425" w:right="0" w:hanging="0"/>
        <w:jc w:val="both"/>
        <w:rPr>
          <w:rFonts w:cs="Arial"/>
          <w:color w:val="000000"/>
          <w:szCs w:val="20"/>
          <w:lang w:eastAsia="en-US"/>
        </w:rPr>
      </w:pPr>
      <w:r>
        <w:rPr>
          <w:rFonts w:cs="Arial"/>
          <w:color w:val="000000"/>
          <w:szCs w:val="20"/>
          <w:lang w:eastAsia="en-US"/>
        </w:rPr>
      </w:r>
    </w:p>
    <w:p>
      <w:pPr>
        <w:pStyle w:val="ListParagraph"/>
        <w:widowControl/>
        <w:bidi w:val="0"/>
        <w:spacing w:lineRule="auto" w:line="276" w:before="120" w:after="120"/>
        <w:ind w:left="510" w:right="0" w:hanging="0"/>
        <w:contextualSpacing/>
        <w:jc w:val="both"/>
        <w:rPr/>
      </w:pPr>
      <w:r>
        <w:rPr>
          <w:rFonts w:cs="Arial"/>
          <w:b/>
          <w:color w:val="000000"/>
          <w:szCs w:val="20"/>
          <w:lang w:eastAsia="en-US"/>
        </w:rPr>
        <w:t xml:space="preserve">16. </w:t>
      </w:r>
      <w:r>
        <w:rPr>
          <w:b/>
        </w:rPr>
        <w:t>DAS SANÇÕES ADMINISTRATIVAS</w:t>
      </w:r>
    </w:p>
    <w:p>
      <w:pPr>
        <w:pStyle w:val="ListParagraph"/>
        <w:spacing w:lineRule="auto" w:line="276" w:before="120" w:after="120"/>
        <w:ind w:left="540" w:right="0" w:hanging="0"/>
        <w:contextualSpacing/>
        <w:jc w:val="both"/>
        <w:rPr>
          <w:b/>
          <w:b/>
        </w:rPr>
      </w:pPr>
      <w:r>
        <w:rPr>
          <w:b/>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16.1. Comete infração administrativa nos termos da Lei nº 8.666, de 1993 e da Lei</w:t>
        <w:br/>
        <w:t>nº 10.520, de 2002, a Contratada que:</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16.1.1. inexecutar total ou parcialmente qualquer das obrigações assumidas em</w:t>
        <w:br/>
        <w:t>decorrência da contratação;</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16.1.2. ensejar o retardamento da execução do objeto;</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16.1.3. fraudar na execução do contrato;</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16.1.4. comportar-se de modo inidôneo;</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16.1.5. cometer fraude fiscal;</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t>14.1.6. não mantiver a proposta.</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16.2. A Contratada que cometer qualquer das infrações discriminadas no subitem acima ficará sujeita, sem prejuízo da responsabilidade civil e criminal, às seguintes</w:t>
        <w:br/>
        <w:t>sanções:</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16.2.1. advertência por faltas leves, assim entendidas aquelas que não acarretem</w:t>
        <w:br/>
        <w:t>prejuízos significativos para a Contratante;</w:t>
      </w:r>
    </w:p>
    <w:p>
      <w:pPr>
        <w:pStyle w:val="ListParagraph"/>
        <w:spacing w:lineRule="auto" w:line="276" w:before="120" w:after="120"/>
        <w:ind w:left="540" w:right="0" w:hanging="0"/>
        <w:contextualSpacing/>
        <w:jc w:val="both"/>
        <w:rPr>
          <w:rFonts w:ascii="Arial" w:hAnsi="Arial" w:eastAsia="Times New Roman" w:cs="Tahoma"/>
          <w:b/>
          <w:b/>
          <w:color w:val="00000A"/>
          <w:sz w:val="20"/>
          <w:szCs w:val="24"/>
          <w:lang w:val="pt-BR" w:eastAsia="en-US" w:bidi="ar-SA"/>
        </w:rPr>
      </w:pPr>
      <w:r>
        <w:rPr>
          <w:rFonts w:eastAsia="Times New Roman" w:cs="Tahoma"/>
          <w:b/>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16.2.2. multa moratória de 0,33% (trinta e três centésimos por cento) por dia de</w:t>
        <w:br/>
        <w:t>atraso injustificado sobre o valor da parcela inadimplida, até o limite de 30 (trinta)</w:t>
        <w:br/>
        <w:t>dias;</w:t>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16.2.3. multa compensatória de 10% (dez por cento) sobre o valor total do</w:t>
        <w:br/>
        <w:t>contrato, no caso de inexecução total do objeto;</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16.2.4. em caso de inexecução parcial, a multa compensatória, no mesmo</w:t>
        <w:br/>
        <w:t>percentual do subitem acima, será aplicada de forma proporcional à obrigação</w:t>
        <w:br/>
        <w:t>inadimplida;</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16.2.5. suspensão de licitar e impedimento de contratar com o órgão, entidade ou</w:t>
        <w:br/>
        <w:t>unidade administrativa pela qual a Administração Pública opera e atua</w:t>
        <w:br/>
        <w:t>concretamente, pelo prazo de até dois anos;</w:t>
      </w:r>
    </w:p>
    <w:p>
      <w:pPr>
        <w:pStyle w:val="ListParagraph"/>
        <w:spacing w:lineRule="auto" w:line="276" w:before="120" w:after="120"/>
        <w:ind w:left="540" w:right="0" w:hanging="0"/>
        <w:contextualSpacing/>
        <w:jc w:val="both"/>
        <w:rPr>
          <w:rFonts w:ascii="Arial" w:hAnsi="Arial" w:eastAsia="Times New Roman" w:cs="Tahoma"/>
          <w:b/>
          <w:b/>
          <w:color w:val="00000A"/>
          <w:sz w:val="20"/>
          <w:szCs w:val="24"/>
          <w:lang w:val="pt-BR" w:eastAsia="en-US" w:bidi="ar-SA"/>
        </w:rPr>
      </w:pPr>
      <w:r>
        <w:rPr>
          <w:rFonts w:eastAsia="Times New Roman" w:cs="Tahoma"/>
          <w:b/>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16.2.6. impedimento de licitar e contratar com a União com o consequente</w:t>
        <w:br/>
        <w:t>descredenciamento no SICAF pelo prazo de até cinco anos;</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16.2.7. declaração de inidoneidade para licitar ou contratar com a Administração</w:t>
        <w:br/>
        <w:t>Pública, enquanto perdurarem os motivos determinantes da punição ou até que</w:t>
        <w:br/>
        <w:t>seja promovida a reabilitação perante a própria autoridade que aplicou a</w:t>
        <w:br/>
        <w:t>penalidade, que será concedida sempre que a Contratada ressarcir a Contratante</w:t>
        <w:br/>
        <w:t>pelos prejuízos causados.</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16.3. Também ficam sujeitas às penalidades do art. 87, III e IV da Lei nº 8.666, de</w:t>
        <w:br/>
        <w:t>1993, a Contratada que:</w:t>
      </w:r>
    </w:p>
    <w:p>
      <w:pPr>
        <w:pStyle w:val="ListParagraph"/>
        <w:spacing w:lineRule="auto" w:line="276" w:before="120" w:after="120"/>
        <w:ind w:left="540" w:right="0" w:hanging="0"/>
        <w:contextualSpacing/>
        <w:jc w:val="both"/>
        <w:rPr>
          <w:rFonts w:ascii="Arial" w:hAnsi="Arial" w:eastAsia="Times New Roman" w:cs="Tahoma"/>
          <w:b/>
          <w:b/>
          <w:color w:val="00000A"/>
          <w:sz w:val="20"/>
          <w:szCs w:val="24"/>
          <w:lang w:val="pt-BR" w:eastAsia="en-US" w:bidi="ar-SA"/>
        </w:rPr>
      </w:pPr>
      <w:r>
        <w:rPr>
          <w:rFonts w:eastAsia="Times New Roman" w:cs="Tahoma"/>
          <w:b/>
          <w:color w:val="00000A"/>
          <w:sz w:val="20"/>
          <w:szCs w:val="24"/>
          <w:lang w:val="pt-BR" w:eastAsia="en-US" w:bidi="ar-SA"/>
        </w:rPr>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t>143.1. tenha sofrido condenação definitiva por praticar, por meio dolosos, fraude</w:t>
        <w:br/>
        <w:t>fiscal no recolhimento de quaisquer tributos;</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16.3.2. tenha praticado atos ilícitos visando a frustrar os objetivos da licitação;</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16.3.3. demonstre não possuir idoneidade para contratar com a Administração em</w:t>
        <w:br/>
        <w:t>virtude de atos ilícitos praticados.</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16.4. A aplicação de qualquer das penalidades previstas realizar-se-á em processo</w:t>
        <w:br/>
        <w:t>administrativo que assegurará o contraditório e a ampla defesa à Contratada,</w:t>
        <w:br/>
        <w:t>observando-se o procedimento previsto na Lei nº 8.666, de 1993, e subsidiariamente</w:t>
        <w:br/>
        <w:t>a Lei nº 9.784, de 1999.</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b w:val="false"/>
          <w:b w:val="false"/>
          <w:bCs w:val="false"/>
        </w:rPr>
      </w:pPr>
      <w:r>
        <w:rPr>
          <w:rFonts w:eastAsia="Times New Roman" w:cs="Tahoma"/>
          <w:b w:val="false"/>
          <w:bCs w:val="false"/>
          <w:color w:val="00000A"/>
          <w:sz w:val="20"/>
          <w:szCs w:val="24"/>
          <w:lang w:val="pt-BR" w:eastAsia="en-US" w:bidi="ar-SA"/>
        </w:rPr>
        <w:t>16.5. A autoridade competente, na aplicação das sanções, levará em consideração a</w:t>
        <w:br/>
        <w:t>gravidade da conduta do infrator, o caráter educativo da pena, bem como o dano</w:t>
        <w:br/>
        <w:t>causado à Contratante, observado o princípio da proporcionalidade.</w:t>
      </w:r>
    </w:p>
    <w:p>
      <w:pPr>
        <w:pStyle w:val="ListParagraph"/>
        <w:spacing w:lineRule="auto" w:line="276" w:before="120" w:after="120"/>
        <w:ind w:left="540" w:right="0" w:hanging="0"/>
        <w:contextualSpacing/>
        <w:jc w:val="both"/>
        <w:rPr>
          <w:rFonts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16.6. As penalidades serão obrigatoriamente registradas no SICAF.</w:t>
      </w:r>
    </w:p>
    <w:p>
      <w:pPr>
        <w:pStyle w:val="Normal"/>
        <w:spacing w:lineRule="auto" w:line="240" w:before="0" w:after="360"/>
        <w:ind w:left="360" w:right="0" w:hanging="0"/>
        <w:jc w:val="right"/>
        <w:rPr>
          <w:rFonts w:cs="Arial"/>
          <w:bCs/>
          <w:i/>
          <w:i/>
          <w:szCs w:val="20"/>
        </w:rPr>
      </w:pPr>
      <w:r>
        <w:rPr>
          <w:rFonts w:cs="Arial"/>
          <w:bCs/>
          <w:i/>
          <w:szCs w:val="20"/>
        </w:rPr>
      </w:r>
    </w:p>
    <w:p>
      <w:pPr>
        <w:pStyle w:val="Normal"/>
        <w:spacing w:lineRule="auto" w:line="240" w:before="0" w:after="360"/>
        <w:ind w:left="360" w:right="0" w:hanging="0"/>
        <w:jc w:val="right"/>
        <w:rPr>
          <w:b/>
          <w:b/>
          <w:bCs/>
        </w:rPr>
      </w:pPr>
      <w:r>
        <w:rPr>
          <w:rFonts w:eastAsia="Times New Roman" w:cs="Tahoma"/>
          <w:b/>
          <w:bCs/>
          <w:i/>
          <w:color w:val="00000A"/>
          <w:sz w:val="20"/>
          <w:szCs w:val="24"/>
          <w:u w:val="none"/>
          <w:lang w:val="pt-BR" w:eastAsia="en-US" w:bidi="ar-SA"/>
        </w:rPr>
        <w:t xml:space="preserve">Petrolina – PE 05 de julho de 2018 </w:t>
      </w:r>
      <w:r>
        <w:rPr>
          <w:rFonts w:eastAsia="Times New Roman" w:cs="Tahoma"/>
          <w:b/>
          <w:bCs/>
          <w:color w:val="00000A"/>
          <w:sz w:val="20"/>
          <w:szCs w:val="24"/>
          <w:u w:val="none"/>
          <w:lang w:val="pt-BR" w:eastAsia="en-US" w:bidi="ar-SA"/>
        </w:rPr>
        <w:t xml:space="preserve"> </w:t>
      </w:r>
    </w:p>
    <w:p>
      <w:pPr>
        <w:pStyle w:val="Standard"/>
        <w:spacing w:lineRule="auto" w:line="240" w:before="0" w:after="0"/>
        <w:jc w:val="center"/>
        <w:rPr>
          <w:rFonts w:ascii="Arial" w:hAnsi="Arial" w:eastAsia="Times New Roman" w:cs="Tahoma"/>
          <w:b w:val="false"/>
          <w:b w:val="false"/>
          <w:bCs w:val="false"/>
          <w:color w:val="00000A"/>
          <w:sz w:val="20"/>
          <w:szCs w:val="24"/>
          <w:u w:val="none"/>
          <w:lang w:val="pt-BR" w:eastAsia="en-US" w:bidi="ar-SA"/>
        </w:rPr>
      </w:pPr>
      <w:r>
        <w:rPr>
          <w:rFonts w:eastAsia="Times New Roman" w:cs="Tahoma" w:ascii="Arial" w:hAnsi="Arial"/>
          <w:b w:val="false"/>
          <w:bCs w:val="false"/>
          <w:color w:val="00000A"/>
          <w:sz w:val="20"/>
          <w:szCs w:val="24"/>
          <w:u w:val="none"/>
          <w:lang w:val="pt-BR" w:eastAsia="en-US" w:bidi="ar-SA"/>
        </w:rPr>
      </w:r>
    </w:p>
    <w:p>
      <w:pPr>
        <w:pStyle w:val="Standard"/>
        <w:spacing w:lineRule="auto" w:line="240" w:before="0" w:after="0"/>
        <w:jc w:val="center"/>
        <w:rPr>
          <w:rFonts w:ascii="Arial" w:hAnsi="Arial" w:eastAsia="Times New Roman" w:cs="Tahoma"/>
          <w:b w:val="false"/>
          <w:b w:val="false"/>
          <w:bCs w:val="false"/>
          <w:i/>
          <w:i/>
          <w:color w:val="00000A"/>
          <w:sz w:val="20"/>
          <w:szCs w:val="24"/>
          <w:lang w:val="pt-BR" w:eastAsia="en-US" w:bidi="ar-SA"/>
        </w:rPr>
      </w:pPr>
      <w:r>
        <w:rPr>
          <w:rFonts w:eastAsia="Times New Roman" w:cs="Tahoma" w:ascii="Arial" w:hAnsi="Arial"/>
          <w:b w:val="false"/>
          <w:bCs w:val="false"/>
          <w:i/>
          <w:color w:val="00000A"/>
          <w:sz w:val="20"/>
          <w:szCs w:val="24"/>
          <w:lang w:val="pt-BR" w:eastAsia="en-US" w:bidi="ar-SA"/>
        </w:rPr>
        <w:t xml:space="preserve">Gerson de Alencar Lima </w:t>
      </w:r>
    </w:p>
    <w:p>
      <w:pPr>
        <w:pStyle w:val="Standard"/>
        <w:spacing w:lineRule="auto" w:line="240" w:before="0" w:after="0"/>
        <w:jc w:val="center"/>
        <w:rPr>
          <w:rFonts w:ascii="Arial" w:hAnsi="Arial" w:eastAsia="Times New Roman" w:cs="Tahoma"/>
          <w:b w:val="false"/>
          <w:b w:val="false"/>
          <w:bCs w:val="false"/>
          <w:i/>
          <w:i/>
          <w:color w:val="00000A"/>
          <w:sz w:val="20"/>
          <w:szCs w:val="24"/>
          <w:lang w:val="pt-BR" w:eastAsia="en-US" w:bidi="ar-SA"/>
        </w:rPr>
      </w:pPr>
      <w:r>
        <w:rPr>
          <w:rFonts w:eastAsia="Times New Roman" w:cs="Tahoma" w:ascii="Arial" w:hAnsi="Arial"/>
          <w:b w:val="false"/>
          <w:bCs w:val="false"/>
          <w:i/>
          <w:color w:val="00000A"/>
          <w:sz w:val="20"/>
          <w:szCs w:val="24"/>
          <w:lang w:val="pt-BR" w:eastAsia="en-US" w:bidi="ar-SA"/>
        </w:rPr>
        <w:t xml:space="preserve">Diretor de Licitações </w:t>
      </w:r>
    </w:p>
    <w:p>
      <w:pPr>
        <w:pStyle w:val="Standard"/>
        <w:spacing w:lineRule="auto" w:line="240" w:before="0" w:after="0"/>
        <w:jc w:val="center"/>
        <w:rPr>
          <w:rFonts w:ascii="Arial" w:hAnsi="Arial" w:eastAsia="Times New Roman" w:cs="Tahoma"/>
          <w:b w:val="false"/>
          <w:b w:val="false"/>
          <w:bCs w:val="false"/>
          <w:i/>
          <w:i/>
          <w:color w:val="00000A"/>
          <w:sz w:val="20"/>
          <w:szCs w:val="24"/>
          <w:lang w:val="pt-BR" w:eastAsia="en-US" w:bidi="ar-SA"/>
        </w:rPr>
      </w:pPr>
      <w:r>
        <w:rPr>
          <w:rFonts w:eastAsia="Times New Roman" w:cs="Tahoma" w:ascii="Arial" w:hAnsi="Arial"/>
          <w:b w:val="false"/>
          <w:bCs w:val="false"/>
          <w:i/>
          <w:color w:val="00000A"/>
          <w:sz w:val="20"/>
          <w:szCs w:val="24"/>
          <w:lang w:val="pt-BR" w:eastAsia="en-US" w:bidi="ar-SA"/>
        </w:rPr>
        <w:t xml:space="preserve">IF Sertão PE </w:t>
      </w:r>
    </w:p>
    <w:p>
      <w:pPr>
        <w:pStyle w:val="Normal"/>
        <w:spacing w:lineRule="auto" w:line="240" w:before="0" w:after="0"/>
        <w:jc w:val="both"/>
        <w:rPr>
          <w:rFonts w:ascii="Arial" w:hAnsi="Arial" w:eastAsia="Times New Roman" w:cs="Tahoma"/>
          <w:b w:val="false"/>
          <w:b w:val="false"/>
          <w:bCs w:val="false"/>
          <w:color w:val="00000A"/>
          <w:sz w:val="20"/>
          <w:szCs w:val="24"/>
          <w:u w:val="none"/>
          <w:lang w:val="pt-BR" w:eastAsia="en-US" w:bidi="ar-SA"/>
        </w:rPr>
      </w:pPr>
      <w:r>
        <w:rPr>
          <w:rFonts w:eastAsia="Times New Roman" w:cs="Tahoma"/>
          <w:b w:val="false"/>
          <w:bCs w:val="false"/>
          <w:color w:val="00000A"/>
          <w:sz w:val="20"/>
          <w:szCs w:val="24"/>
          <w:u w:val="none"/>
          <w:lang w:val="pt-BR" w:eastAsia="en-US" w:bidi="ar-SA"/>
        </w:rPr>
      </w:r>
    </w:p>
    <w:p>
      <w:pPr>
        <w:pStyle w:val="Normal"/>
        <w:spacing w:lineRule="auto" w:line="276" w:before="120" w:after="120"/>
        <w:ind w:left="425" w:right="0" w:hanging="0"/>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Normal"/>
        <w:spacing w:lineRule="auto" w:line="240" w:before="0" w:after="0"/>
        <w:rPr>
          <w:rFonts w:ascii="Arial" w:hAnsi="Arial" w:eastAsia="Times New Roman" w:cs="Tahoma"/>
          <w:b/>
          <w:b/>
          <w:bCs/>
          <w:color w:val="00000A"/>
          <w:sz w:val="20"/>
          <w:szCs w:val="24"/>
          <w:lang w:val="pt-BR" w:eastAsia="en-US" w:bidi="ar-SA"/>
        </w:rPr>
      </w:pPr>
      <w:r>
        <w:rPr>
          <w:rFonts w:eastAsia="Times New Roman" w:cs="Tahoma"/>
          <w:b/>
          <w:bCs/>
          <w:color w:val="00000A"/>
          <w:sz w:val="20"/>
          <w:szCs w:val="24"/>
          <w:lang w:val="pt-BR" w:eastAsia="en-US" w:bidi="ar-SA"/>
        </w:rPr>
        <w:t>APROVO:</w:t>
      </w:r>
    </w:p>
    <w:p>
      <w:pPr>
        <w:pStyle w:val="Normal"/>
        <w:spacing w:lineRule="auto" w:line="240" w:before="0" w:after="0"/>
        <w:rPr>
          <w:rFonts w:ascii="Arial" w:hAnsi="Arial" w:eastAsia="Times New Roman" w:cs="Tahoma"/>
          <w:b/>
          <w:b/>
          <w:bCs/>
          <w:color w:val="00000A"/>
          <w:sz w:val="20"/>
          <w:szCs w:val="24"/>
          <w:lang w:val="pt-BR" w:eastAsia="en-US" w:bidi="ar-SA"/>
        </w:rPr>
      </w:pPr>
      <w:r>
        <w:rPr>
          <w:rFonts w:eastAsia="Times New Roman" w:cs="Tahoma"/>
          <w:b/>
          <w:bCs/>
          <w:color w:val="00000A"/>
          <w:sz w:val="20"/>
          <w:szCs w:val="24"/>
          <w:lang w:val="pt-BR" w:eastAsia="en-US" w:bidi="ar-SA"/>
        </w:rPr>
      </w:r>
    </w:p>
    <w:p>
      <w:pPr>
        <w:pStyle w:val="Normal"/>
        <w:pBdr>
          <w:top w:val="single" w:sz="4" w:space="1" w:color="000001"/>
          <w:left w:val="single" w:sz="4" w:space="4" w:color="000001"/>
          <w:bottom w:val="single" w:sz="4" w:space="1" w:color="000001"/>
          <w:right w:val="single" w:sz="4" w:space="4" w:color="000001"/>
        </w:pBdr>
        <w:spacing w:before="0" w:after="0"/>
        <w:ind w:left="360" w:right="0" w:hanging="0"/>
        <w:jc w:val="both"/>
        <w:rPr>
          <w:rFonts w:ascii="Arial" w:hAnsi="Arial" w:eastAsia="Times New Roman" w:cs="Tahoma"/>
          <w:b/>
          <w:b/>
          <w:bCs/>
          <w:color w:val="00000A"/>
          <w:sz w:val="20"/>
          <w:szCs w:val="24"/>
          <w:lang w:val="pt-BR" w:eastAsia="en-US" w:bidi="ar-SA"/>
        </w:rPr>
      </w:pPr>
      <w:r>
        <w:rPr>
          <w:rFonts w:eastAsia="Times New Roman" w:cs="Tahoma"/>
          <w:b/>
          <w:bCs/>
          <w:i/>
          <w:color w:val="00000A"/>
          <w:sz w:val="20"/>
          <w:szCs w:val="24"/>
          <w:lang w:val="pt-BR" w:eastAsia="en-US" w:bidi="ar-SA"/>
        </w:rPr>
        <w:t xml:space="preserve">O presente Termo de Referência de acordo com o inciso II do Artigo 9º do </w:t>
      </w:r>
      <w:bookmarkStart w:id="0" w:name="__DdeLink__30157_1744207631"/>
      <w:r>
        <w:rPr>
          <w:rFonts w:eastAsia="Times New Roman" w:cs="Tahoma"/>
          <w:b/>
          <w:bCs/>
          <w:i/>
          <w:color w:val="00000A"/>
          <w:sz w:val="20"/>
          <w:szCs w:val="24"/>
          <w:lang w:val="pt-BR" w:eastAsia="en-US" w:bidi="ar-SA"/>
        </w:rPr>
        <w:t>Decreto nº 5.450/2005</w:t>
      </w:r>
      <w:bookmarkEnd w:id="0"/>
      <w:r>
        <w:rPr>
          <w:rFonts w:eastAsia="Times New Roman" w:cs="Tahoma"/>
          <w:b/>
          <w:bCs/>
          <w:i/>
          <w:color w:val="00000A"/>
          <w:sz w:val="20"/>
          <w:szCs w:val="24"/>
          <w:lang w:val="pt-BR" w:eastAsia="en-US" w:bidi="ar-SA"/>
        </w:rPr>
        <w:t xml:space="preserve">, cuja finalidade é a contratação de </w:t>
      </w:r>
      <w:r>
        <w:rPr>
          <w:rFonts w:eastAsia="Times New Roman" w:cs="Tahoma"/>
          <w:b/>
          <w:bCs/>
          <w:i w:val="false"/>
          <w:iCs w:val="false"/>
          <w:color w:val="00000A"/>
          <w:sz w:val="20"/>
          <w:szCs w:val="24"/>
          <w:lang w:val="pt-BR" w:eastAsia="en-US" w:bidi="ar-SA"/>
        </w:rPr>
        <w:t xml:space="preserve">serviço de fornecimento de passagens aéreas e agenciamento de viagens, conforme condições, quantidades, exigências e estimativas, inclusive as encaminhadas pelos órgãos e entidades participantes, estabelecidas neste instrumento, </w:t>
      </w:r>
      <w:r>
        <w:rPr>
          <w:rFonts w:eastAsia="Times New Roman" w:cs="Tahoma"/>
          <w:b/>
          <w:bCs/>
          <w:i/>
          <w:color w:val="00000A"/>
          <w:sz w:val="20"/>
          <w:szCs w:val="24"/>
          <w:lang w:val="pt-BR" w:eastAsia="en-US" w:bidi="ar-SA"/>
        </w:rPr>
        <w:t xml:space="preserve">para o Instituto Federal de Ciência e Tecnologia do Sertão Pernambucano (IF Sertão-PE), Reitoria. </w:t>
      </w:r>
    </w:p>
    <w:p>
      <w:pPr>
        <w:pStyle w:val="Normal"/>
        <w:spacing w:before="0" w:after="360"/>
        <w:ind w:left="360" w:right="0" w:hanging="0"/>
        <w:rPr>
          <w:i/>
          <w:i/>
        </w:rPr>
      </w:pPr>
      <w:r>
        <w:rPr>
          <w:i/>
        </w:rPr>
      </w:r>
    </w:p>
    <w:p>
      <w:pPr>
        <w:pStyle w:val="Normal"/>
        <w:spacing w:before="0" w:after="360"/>
        <w:ind w:left="360" w:right="0" w:hanging="0"/>
        <w:jc w:val="right"/>
        <w:rPr/>
      </w:pPr>
      <w:r>
        <w:rPr>
          <w:rFonts w:eastAsia="Times New Roman" w:cs="Tahoma"/>
          <w:b/>
          <w:bCs/>
          <w:i/>
          <w:color w:val="00000A"/>
          <w:sz w:val="20"/>
          <w:szCs w:val="24"/>
          <w:lang w:val="pt-BR" w:eastAsia="en-US" w:bidi="ar-SA"/>
        </w:rPr>
        <w:t xml:space="preserve">Petrolina – PE 05 de julho de 2018 </w:t>
      </w:r>
      <w:r>
        <w:rPr>
          <w:rFonts w:eastAsia="Times New Roman" w:cs="Tahoma"/>
          <w:b/>
          <w:bCs/>
          <w:color w:val="00000A"/>
          <w:sz w:val="20"/>
          <w:szCs w:val="24"/>
          <w:lang w:val="pt-BR" w:eastAsia="en-US" w:bidi="ar-SA"/>
        </w:rPr>
        <w:t xml:space="preserve"> </w:t>
      </w:r>
    </w:p>
    <w:p>
      <w:pPr>
        <w:pStyle w:val="Normal"/>
        <w:spacing w:lineRule="exact" w:line="240"/>
        <w:jc w:val="center"/>
        <w:rPr>
          <w:rStyle w:val="Nfaseforte"/>
          <w:rFonts w:ascii="Arial" w:hAnsi="Arial"/>
          <w:b/>
          <w:b/>
          <w:bCs/>
          <w:color w:val="000000"/>
          <w:sz w:val="20"/>
          <w:szCs w:val="20"/>
        </w:rPr>
      </w:pPr>
      <w:r>
        <w:rPr>
          <w:b/>
          <w:bCs/>
          <w:color w:val="000000"/>
          <w:sz w:val="20"/>
          <w:szCs w:val="20"/>
        </w:rPr>
      </w:r>
    </w:p>
    <w:p>
      <w:pPr>
        <w:pStyle w:val="Normal"/>
        <w:spacing w:lineRule="exact" w:line="240"/>
        <w:jc w:val="center"/>
        <w:rPr>
          <w:rStyle w:val="Nfaseforte"/>
          <w:rFonts w:ascii="Arial" w:hAnsi="Arial"/>
          <w:b/>
          <w:b/>
          <w:bCs/>
          <w:color w:val="000000"/>
          <w:sz w:val="20"/>
          <w:szCs w:val="20"/>
        </w:rPr>
      </w:pPr>
      <w:r>
        <w:rPr>
          <w:b/>
          <w:bCs/>
          <w:color w:val="000000"/>
          <w:sz w:val="20"/>
          <w:szCs w:val="20"/>
        </w:rPr>
      </w:r>
    </w:p>
    <w:p>
      <w:pPr>
        <w:pStyle w:val="Normal"/>
        <w:spacing w:lineRule="exact" w:line="240"/>
        <w:jc w:val="center"/>
        <w:rPr>
          <w:rStyle w:val="Nfaseforte"/>
          <w:rFonts w:ascii="Arial" w:hAnsi="Arial"/>
          <w:b/>
          <w:b/>
          <w:bCs/>
          <w:color w:val="000000"/>
          <w:sz w:val="20"/>
          <w:szCs w:val="20"/>
        </w:rPr>
      </w:pPr>
      <w:r>
        <w:rPr>
          <w:b/>
          <w:bCs/>
          <w:color w:val="000000"/>
          <w:sz w:val="20"/>
          <w:szCs w:val="20"/>
        </w:rPr>
      </w:r>
    </w:p>
    <w:p>
      <w:pPr>
        <w:pStyle w:val="Normal"/>
        <w:spacing w:lineRule="exact" w:line="240"/>
        <w:jc w:val="center"/>
        <w:rPr>
          <w:rStyle w:val="Nfaseforte"/>
          <w:rFonts w:ascii="Arial" w:hAnsi="Arial"/>
          <w:b/>
          <w:b/>
          <w:bCs/>
          <w:color w:val="000000"/>
          <w:sz w:val="20"/>
          <w:szCs w:val="20"/>
        </w:rPr>
      </w:pPr>
      <w:r>
        <w:rPr>
          <w:b/>
          <w:bCs/>
          <w:color w:val="000000"/>
          <w:sz w:val="20"/>
          <w:szCs w:val="20"/>
        </w:rPr>
      </w:r>
    </w:p>
    <w:p>
      <w:pPr>
        <w:pStyle w:val="Normal"/>
        <w:spacing w:lineRule="exact" w:line="240"/>
        <w:jc w:val="center"/>
        <w:rPr>
          <w:rStyle w:val="Nfaseforte"/>
          <w:rFonts w:ascii="Arial" w:hAnsi="Arial"/>
          <w:b/>
          <w:b/>
          <w:bCs/>
          <w:color w:val="000000"/>
          <w:sz w:val="20"/>
          <w:szCs w:val="20"/>
        </w:rPr>
      </w:pPr>
      <w:r>
        <w:rPr>
          <w:b/>
          <w:bCs/>
          <w:color w:val="000000"/>
          <w:sz w:val="20"/>
          <w:szCs w:val="20"/>
        </w:rPr>
      </w:r>
    </w:p>
    <w:p>
      <w:pPr>
        <w:pStyle w:val="Normal"/>
        <w:spacing w:lineRule="exact" w:line="240"/>
        <w:jc w:val="center"/>
        <w:rPr>
          <w:rStyle w:val="Nfaseforte"/>
          <w:rFonts w:ascii="Arial" w:hAnsi="Arial"/>
          <w:b/>
          <w:b/>
          <w:bCs/>
          <w:color w:val="000000"/>
          <w:sz w:val="20"/>
          <w:szCs w:val="20"/>
        </w:rPr>
      </w:pPr>
      <w:r>
        <w:rPr>
          <w:b/>
          <w:bCs/>
          <w:color w:val="000000"/>
          <w:sz w:val="20"/>
          <w:szCs w:val="20"/>
        </w:rPr>
      </w:r>
    </w:p>
    <w:p>
      <w:pPr>
        <w:pStyle w:val="Normal"/>
        <w:spacing w:lineRule="exact" w:line="240"/>
        <w:jc w:val="center"/>
        <w:rPr/>
      </w:pPr>
      <w:r>
        <w:rPr>
          <w:rStyle w:val="Nfaseforte"/>
          <w:b/>
          <w:bCs/>
          <w:color w:val="000000"/>
          <w:sz w:val="20"/>
          <w:szCs w:val="20"/>
        </w:rPr>
        <w:t>Luciana Cavalcanti Azevedo</w:t>
      </w:r>
    </w:p>
    <w:p>
      <w:pPr>
        <w:pStyle w:val="Normal"/>
        <w:spacing w:lineRule="exact" w:line="240"/>
        <w:jc w:val="center"/>
        <w:rPr/>
      </w:pPr>
      <w:r>
        <w:rPr>
          <w:rStyle w:val="Fontepargpadro"/>
          <w:rFonts w:eastAsia="Ecofont_Spranq_eco_Sans" w:cs="Ecofont_Spranq_eco_Sans"/>
          <w:b/>
          <w:bCs/>
          <w:color w:val="000000"/>
          <w:sz w:val="20"/>
          <w:szCs w:val="20"/>
          <w:highlight w:val="white"/>
        </w:rPr>
        <w:t xml:space="preserve">Reitora </w:t>
      </w:r>
      <w:r>
        <w:rPr>
          <w:rStyle w:val="Fontepargpadro"/>
          <w:rFonts w:eastAsia="Ecofont_Spranq_eco_Sans" w:cs="Ecofont_Spranq_eco_Sans"/>
          <w:b/>
          <w:bCs/>
          <w:color w:val="000000"/>
          <w:sz w:val="20"/>
          <w:szCs w:val="20"/>
          <w:highlight w:val="white"/>
        </w:rPr>
        <w:t>em Exercício</w:t>
      </w:r>
    </w:p>
    <w:p>
      <w:pPr>
        <w:pStyle w:val="Normal"/>
        <w:spacing w:lineRule="exact" w:line="240"/>
        <w:jc w:val="center"/>
        <w:rPr/>
      </w:pPr>
      <w:r>
        <w:rPr>
          <w:rStyle w:val="Nfaseforte"/>
          <w:rFonts w:eastAsia="Ecofont_Spranq_eco_Sans" w:cs="Ecofont_Spranq_eco_Sans"/>
          <w:b/>
          <w:bCs/>
          <w:color w:val="000000"/>
          <w:sz w:val="20"/>
          <w:szCs w:val="20"/>
          <w:highlight w:val="white"/>
          <w:lang w:val="pt-BR" w:eastAsia="en-US" w:bidi="ar-SA"/>
        </w:rPr>
        <w:t>IF Sertão-PE</w:t>
      </w:r>
    </w:p>
    <w:sectPr>
      <w:headerReference w:type="default" r:id="rId2"/>
      <w:footerReference w:type="default" r:id="rId3"/>
      <w:type w:val="nextPage"/>
      <w:pgSz w:w="11906" w:h="16838"/>
      <w:pgMar w:left="1701" w:right="1134" w:header="1418" w:top="2621" w:footer="709"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Comissão Permanente de Modelos de Licitações e Contratos Administrativos da Consultoria-Geral da União</w:t>
    </w:r>
  </w:p>
  <w:p>
    <w:pPr>
      <w:pStyle w:val="Rodap"/>
      <w:rPr>
        <w:sz w:val="12"/>
        <w:szCs w:val="12"/>
      </w:rPr>
    </w:pPr>
    <w:r>
      <w:rPr>
        <w:sz w:val="12"/>
        <w:szCs w:val="12"/>
      </w:rPr>
      <w:t xml:space="preserve">Termo de Referência - Modelo para Pregão Eletrônico: SRP  Serviços Contínuos sem dedicação exclusiva de mão de obra </w:t>
    </w:r>
  </w:p>
  <w:p>
    <w:pPr>
      <w:pStyle w:val="Rodap"/>
      <w:rPr>
        <w:sz w:val="12"/>
        <w:szCs w:val="12"/>
      </w:rPr>
    </w:pPr>
    <w:r>
      <w:rPr>
        <w:sz w:val="12"/>
        <w:szCs w:val="12"/>
      </w:rPr>
      <w:t>Atualização: Outubro/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val="false"/>
      <w:suppressAutoHyphens w:val="true"/>
      <w:bidi w:val="0"/>
      <w:ind w:left="0" w:right="0" w:hanging="0"/>
      <w:jc w:val="center"/>
      <w:textAlignment w:val="baseline"/>
      <w:rPr/>
    </w:pPr>
    <w:r>
      <w:drawing>
        <wp:anchor behindDoc="1" distT="0" distB="0" distL="114935" distR="114935" simplePos="0" locked="0" layoutInCell="1" allowOverlap="1" relativeHeight="12">
          <wp:simplePos x="0" y="0"/>
          <wp:positionH relativeFrom="column">
            <wp:posOffset>5466715</wp:posOffset>
          </wp:positionH>
          <wp:positionV relativeFrom="paragraph">
            <wp:posOffset>-607695</wp:posOffset>
          </wp:positionV>
          <wp:extent cx="810260" cy="803910"/>
          <wp:effectExtent l="0" t="0" r="0" b="0"/>
          <wp:wrapNone/>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810260" cy="803910"/>
                  </a:xfrm>
                  <a:prstGeom prst="rect">
                    <a:avLst/>
                  </a:prstGeom>
                </pic:spPr>
              </pic:pic>
            </a:graphicData>
          </a:graphic>
        </wp:anchor>
      </w:drawing>
      <w:drawing>
        <wp:anchor behindDoc="1" distT="0" distB="0" distL="0" distR="0" simplePos="0" locked="0" layoutInCell="1" allowOverlap="1" relativeHeight="23">
          <wp:simplePos x="0" y="0"/>
          <wp:positionH relativeFrom="column">
            <wp:posOffset>2447290</wp:posOffset>
          </wp:positionH>
          <wp:positionV relativeFrom="paragraph">
            <wp:posOffset>-569595</wp:posOffset>
          </wp:positionV>
          <wp:extent cx="743585" cy="465455"/>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743585" cy="465455"/>
                  </a:xfrm>
                  <a:prstGeom prst="rect">
                    <a:avLst/>
                  </a:prstGeom>
                </pic:spPr>
              </pic:pic>
            </a:graphicData>
          </a:graphic>
        </wp:anchor>
      </w:drawing>
    </w:r>
    <w:r>
      <w:rPr>
        <w:rStyle w:val="Fontepare1gpadre3o"/>
        <w:rFonts w:eastAsia="Times New Roman" w:cs="Times New Roman" w:ascii="Times New Roman" w:hAnsi="Times New Roman"/>
        <w:b/>
        <w:color w:val="000000"/>
        <w:sz w:val="12"/>
        <w:lang w:val="pt-BR" w:eastAsia="hi-IN"/>
      </w:rPr>
      <w:t>M</w:t>
    </w:r>
    <w:r>
      <w:rPr>
        <w:rStyle w:val="Fontepare1gpadre3o"/>
        <w:rFonts w:eastAsia="Times New Roman" w:cs="Times New Roman" w:ascii="Times New Roman" w:hAnsi="Times New Roman"/>
        <w:b/>
        <w:color w:val="000000"/>
        <w:sz w:val="12"/>
        <w:lang w:val="pt-BR" w:eastAsia="hi-IN"/>
      </w:rPr>
      <w:t>INISTÉRIO DA EDUCAÇÃO</w:t>
    </w:r>
  </w:p>
  <w:p>
    <w:pPr>
      <w:pStyle w:val="LONormal"/>
      <w:widowControl w:val="false"/>
      <w:suppressAutoHyphens w:val="true"/>
      <w:bidi w:val="0"/>
      <w:ind w:left="0" w:right="227" w:hanging="0"/>
      <w:jc w:val="center"/>
      <w:textAlignment w:val="baseline"/>
      <w:rPr>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t xml:space="preserve">SERVIÇO PÚBLICO FEDERAL MINISTÉRIO DA EDUCAÇÃO SECRETARIA DE EDUCAÇÃO PROFISSIONAL E TECNOLÓGICA </w:t>
    </w:r>
  </w:p>
  <w:p>
    <w:pPr>
      <w:pStyle w:val="LONormal"/>
      <w:widowControl w:val="false"/>
      <w:suppressAutoHyphens w:val="true"/>
      <w:bidi w:val="0"/>
      <w:ind w:left="0" w:right="227" w:hanging="0"/>
      <w:jc w:val="center"/>
      <w:textAlignment w:val="baseline"/>
      <w:rPr>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t xml:space="preserve">INSTITUTO FEDERAL DE EDUCAÇÃO, CIÊNCIA E TECNOLOGIA DO SERTÃO PERNAMBUCANO </w:t>
    </w:r>
  </w:p>
  <w:p>
    <w:pPr>
      <w:pStyle w:val="Normal"/>
      <w:widowControl w:val="false"/>
      <w:tabs>
        <w:tab w:val="center" w:pos="11737" w:leader="none"/>
      </w:tabs>
      <w:suppressAutoHyphens w:val="true"/>
      <w:bidi w:val="0"/>
      <w:ind w:left="0" w:right="227" w:hanging="0"/>
      <w:jc w:val="center"/>
      <w:textAlignment w:val="baseline"/>
      <w:rPr>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t xml:space="preserve">REITORIA </w:t>
    </w:r>
  </w:p>
  <w:p>
    <w:pPr>
      <w:pStyle w:val="LONormal"/>
      <w:widowControl w:val="false"/>
      <w:suppressAutoHyphens w:val="true"/>
      <w:bidi w:val="0"/>
      <w:ind w:left="0" w:right="227" w:hanging="0"/>
      <w:jc w:val="center"/>
      <w:textAlignment w:val="baseline"/>
      <w:rPr>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t>DIRETORIA DE LICITAÇÕES - DLIC</w:t>
    </w:r>
  </w:p>
  <w:p>
    <w:pPr>
      <w:pStyle w:val="Normal"/>
      <w:widowControl w:val="false"/>
      <w:tabs>
        <w:tab w:val="center" w:pos="11737" w:leader="none"/>
      </w:tabs>
      <w:suppressAutoHyphens w:val="true"/>
      <w:bidi w:val="0"/>
      <w:ind w:left="0" w:right="227" w:hanging="0"/>
      <w:jc w:val="center"/>
      <w:textAlignment w:val="baseline"/>
      <w:rPr>
        <w:rFonts w:ascii="Arial" w:hAnsi="Arial" w:eastAsia="Times New Roman" w:cs="Arial"/>
        <w:b/>
        <w:b/>
        <w:bCs/>
        <w:color w:val="000000"/>
        <w:sz w:val="20"/>
        <w:szCs w:val="20"/>
        <w:lang w:val="pt-BR" w:eastAsia="pt-BR" w:bidi="ar-SA"/>
      </w:rPr>
    </w:pPr>
    <w:r>
      <w:rPr>
        <w:rFonts w:eastAsia="Times New Roman" w:cs="Arial"/>
        <w:b/>
        <w:bCs/>
        <w:color w:val="000000"/>
        <w:sz w:val="20"/>
        <w:szCs w:val="20"/>
        <w:lang w:val="pt-BR" w:eastAsia="pt-BR"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7" w:hanging="360"/>
      </w:pPr>
      <w:rPr>
        <w:b/>
      </w:rPr>
    </w:lvl>
    <w:lvl w:ilvl="1">
      <w:start w:val="1"/>
      <w:numFmt w:val="decimal"/>
      <w:lvlText w:val="%1.%2."/>
      <w:lvlJc w:val="left"/>
      <w:pPr>
        <w:ind w:left="432" w:hanging="432"/>
      </w:pPr>
      <w:rPr>
        <w:i w:val="false"/>
        <w:b/>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9"/>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567"/>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style w:type="paragraph" w:styleId="Normal">
    <w:name w:val="Normal"/>
    <w:qFormat/>
    <w:pPr>
      <w:widowControl/>
      <w:overflowPunct w:val="true"/>
      <w:bidi w:val="0"/>
      <w:jc w:val="left"/>
    </w:pPr>
    <w:rPr>
      <w:rFonts w:ascii="Arial" w:hAnsi="Arial" w:eastAsia="Times New Roman" w:cs="Tahoma"/>
      <w:color w:val="00000A"/>
      <w:sz w:val="20"/>
      <w:szCs w:val="24"/>
      <w:lang w:val="pt-BR" w:eastAsia="pt-BR" w:bidi="ar-SA"/>
    </w:rPr>
  </w:style>
  <w:style w:type="paragraph" w:styleId="Ttulo1">
    <w:name w:val="Heading 1"/>
    <w:basedOn w:val="Normal"/>
    <w:next w:val="Normal"/>
    <w:qFormat/>
    <w:pPr>
      <w:keepNext/>
      <w:keepLines/>
      <w:spacing w:before="240" w:after="0"/>
      <w:outlineLvl w:val="0"/>
    </w:pPr>
    <w:rPr>
      <w:rFonts w:ascii="Cambria" w:hAnsi="Cambria" w:eastAsia="ＭＳ ゴシック" w:cs="Times New Roman"/>
      <w:color w:val="365F91"/>
      <w:sz w:val="32"/>
      <w:szCs w:val="32"/>
    </w:rPr>
  </w:style>
  <w:style w:type="paragraph" w:styleId="Ttulo2">
    <w:name w:val="Heading 2"/>
    <w:basedOn w:val="Normal"/>
    <w:next w:val="Normal"/>
    <w:qFormat/>
    <w:pPr>
      <w:keepNext/>
      <w:tabs>
        <w:tab w:val="left" w:pos="1701" w:leader="none"/>
      </w:tabs>
      <w:ind w:left="0" w:right="-1" w:hanging="0"/>
      <w:jc w:val="center"/>
      <w:outlineLvl w:val="1"/>
    </w:pPr>
    <w:rPr>
      <w:rFonts w:ascii="Times New Roman" w:hAnsi="Times New Roman" w:cs="Times New Roman"/>
      <w:b/>
      <w:color w:val="000000"/>
      <w:szCs w:val="20"/>
      <w:lang w:val="x-none" w:eastAsia="x-none"/>
    </w:rPr>
  </w:style>
  <w:style w:type="character" w:styleId="DefaultParagraphFont">
    <w:name w:val="Default Paragraph Font"/>
    <w:qFormat/>
    <w:rPr/>
  </w:style>
  <w:style w:type="character" w:styleId="TextodebaloChar">
    <w:name w:val="Texto de balão Char"/>
    <w:qFormat/>
    <w:rPr>
      <w:rFonts w:ascii="Tahoma" w:hAnsi="Tahoma" w:cs="Tahoma"/>
      <w:sz w:val="16"/>
      <w:szCs w:val="16"/>
    </w:rPr>
  </w:style>
  <w:style w:type="character" w:styleId="Ttulo2Char">
    <w:name w:val="Título 2 Char"/>
    <w:qFormat/>
    <w:rPr>
      <w:b/>
      <w:color w:val="000000"/>
      <w:sz w:val="24"/>
    </w:rPr>
  </w:style>
  <w:style w:type="character" w:styleId="Normalchar1">
    <w:name w:val="normal__char1"/>
    <w:qFormat/>
    <w:rPr>
      <w:rFonts w:ascii="Arial" w:hAnsi="Arial" w:cs="Arial"/>
      <w:strike w:val="false"/>
      <w:dstrike w:val="false"/>
      <w:sz w:val="24"/>
      <w:szCs w:val="24"/>
      <w:u w:val="none"/>
      <w:effect w:val="none"/>
    </w:rPr>
  </w:style>
  <w:style w:type="character" w:styleId="Applestylespan">
    <w:name w:val="apple-style-span"/>
    <w:basedOn w:val="DefaultParagraphFont"/>
    <w:qFormat/>
    <w:rPr/>
  </w:style>
  <w:style w:type="character" w:styleId="LinkdaInternet">
    <w:name w:val="Link da Internet"/>
    <w:rPr>
      <w:color w:val="000080"/>
      <w:u w:val="single"/>
    </w:rPr>
  </w:style>
  <w:style w:type="character" w:styleId="CitaoChar">
    <w:name w:val="Citação Char"/>
    <w:qFormat/>
    <w:rPr>
      <w:rFonts w:ascii="Ecofont_Spranq_eco_Sans" w:hAnsi="Ecofont_Spranq_eco_Sans" w:eastAsia="Calibri" w:cs="Tahoma"/>
      <w:i/>
      <w:iCs/>
      <w:color w:val="000000"/>
      <w:szCs w:val="24"/>
      <w:highlight w:val="yellow"/>
      <w:lang w:eastAsia="en-US"/>
    </w:rPr>
  </w:style>
  <w:style w:type="character" w:styleId="Citao2Char">
    <w:name w:val="citação 2 Char"/>
    <w:basedOn w:val="CitaoChar"/>
    <w:qFormat/>
    <w:rPr>
      <w:rFonts w:ascii="Ecofont_Spranq_eco_Sans" w:hAnsi="Ecofont_Spranq_eco_Sans" w:eastAsia="Calibri" w:cs="Tahoma"/>
      <w:i/>
      <w:iCs/>
      <w:color w:val="000000"/>
      <w:szCs w:val="24"/>
      <w:highlight w:val="yellow"/>
      <w:lang w:eastAsia="en-US"/>
    </w:rPr>
  </w:style>
  <w:style w:type="character" w:styleId="GradeColoridanfase1Char">
    <w:name w:val="Grade Colorida - Ênfase 1 Char"/>
    <w:qFormat/>
    <w:rPr>
      <w:rFonts w:ascii="Ecofont_Spranq_eco_Sans" w:hAnsi="Ecofont_Spranq_eco_Sans" w:eastAsia="Calibri" w:cs="Tahoma"/>
      <w:i/>
      <w:iCs/>
      <w:color w:val="000000"/>
      <w:szCs w:val="24"/>
      <w:highlight w:val="yellow"/>
      <w:lang w:eastAsia="en-US"/>
    </w:rPr>
  </w:style>
  <w:style w:type="character" w:styleId="CabealhoChar">
    <w:name w:val="Cabeçalho Char"/>
    <w:basedOn w:val="DefaultParagraphFont"/>
    <w:qFormat/>
    <w:rPr>
      <w:rFonts w:ascii="Ecofont_Spranq_eco_Sans" w:hAnsi="Ecofont_Spranq_eco_Sans" w:cs="Tahoma"/>
      <w:sz w:val="24"/>
      <w:szCs w:val="24"/>
    </w:rPr>
  </w:style>
  <w:style w:type="character" w:styleId="RodapChar">
    <w:name w:val="Rodapé Char"/>
    <w:basedOn w:val="DefaultParagraphFont"/>
    <w:qFormat/>
    <w:rPr>
      <w:rFonts w:ascii="Ecofont_Spranq_eco_Sans" w:hAnsi="Ecofont_Spranq_eco_Sans" w:cs="Tahoma"/>
      <w:sz w:val="24"/>
      <w:szCs w:val="24"/>
    </w:rPr>
  </w:style>
  <w:style w:type="character" w:styleId="Ttulo1Char">
    <w:name w:val="Título 1 Char"/>
    <w:basedOn w:val="DefaultParagraphFont"/>
    <w:qFormat/>
    <w:rPr>
      <w:rFonts w:ascii="Cambria" w:hAnsi="Cambria" w:eastAsia="ＭＳ ゴシック" w:cs="Times New Roman"/>
      <w:color w:val="365F91"/>
      <w:sz w:val="32"/>
      <w:szCs w:val="32"/>
    </w:rPr>
  </w:style>
  <w:style w:type="character" w:styleId="Nivel1Char">
    <w:name w:val="Nivel1 Char"/>
    <w:basedOn w:val="Ttulo1Char"/>
    <w:qFormat/>
    <w:rPr>
      <w:rFonts w:ascii="Arial" w:hAnsi="Arial" w:eastAsia="ＭＳ ゴシック" w:cs="Arial"/>
      <w:b/>
      <w:color w:val="000000"/>
      <w:sz w:val="32"/>
      <w:szCs w:val="32"/>
    </w:rPr>
  </w:style>
  <w:style w:type="character" w:styleId="TextodecomentrioChar">
    <w:name w:val="Texto de comentário Char"/>
    <w:basedOn w:val="DefaultParagraphFont"/>
    <w:qFormat/>
    <w:rPr>
      <w:rFonts w:ascii="Arial" w:hAnsi="Arial" w:cs="Tahoma"/>
    </w:rPr>
  </w:style>
  <w:style w:type="character" w:styleId="Annotationreference">
    <w:name w:val="annotation reference"/>
    <w:basedOn w:val="DefaultParagraphFont"/>
    <w:qFormat/>
    <w:rPr>
      <w:sz w:val="16"/>
      <w:szCs w:val="16"/>
    </w:rPr>
  </w:style>
  <w:style w:type="character" w:styleId="AssuntodocomentrioChar">
    <w:name w:val="Assunto do comentário Char"/>
    <w:basedOn w:val="TextodecomentrioChar"/>
    <w:qFormat/>
    <w:rPr>
      <w:rFonts w:ascii="Arial" w:hAnsi="Arial" w:cs="Tahoma"/>
      <w:b/>
      <w:bCs/>
    </w:rPr>
  </w:style>
  <w:style w:type="character" w:styleId="Strong">
    <w:name w:val="Strong"/>
    <w:basedOn w:val="DefaultParagraphFont"/>
    <w:qFormat/>
    <w:rPr>
      <w:b/>
      <w:bCs/>
    </w:rPr>
  </w:style>
  <w:style w:type="character" w:styleId="QuoteChar">
    <w:name w:val="Quote Char"/>
    <w:qFormat/>
    <w:rPr>
      <w:rFonts w:ascii="Ecofont_Spranq_eco_Sans" w:hAnsi="Ecofont_Spranq_eco_Sans" w:cs="Tahoma"/>
      <w:i/>
      <w:color w:val="000000"/>
      <w:sz w:val="24"/>
      <w:szCs w:val="24"/>
      <w:highlight w:val="yellow"/>
      <w:lang w:val="x-none" w:eastAsia="en-US"/>
    </w:rPr>
  </w:style>
  <w:style w:type="character" w:styleId="ListLabel1">
    <w:name w:val="ListLabel 1"/>
    <w:qFormat/>
    <w:rPr>
      <w:b/>
    </w:rPr>
  </w:style>
  <w:style w:type="character" w:styleId="ListLabel2">
    <w:name w:val="ListLabel 2"/>
    <w:qFormat/>
    <w:rPr>
      <w:b/>
      <w:i w:val="false"/>
    </w:rPr>
  </w:style>
  <w:style w:type="character" w:styleId="ListLabel3">
    <w:name w:val="ListLabel 3"/>
    <w:qFormat/>
    <w:rPr>
      <w:rFonts w:eastAsia="Arial Unicode MS"/>
    </w:rPr>
  </w:style>
  <w:style w:type="character" w:styleId="ListLabel4">
    <w:name w:val="ListLabel 4"/>
    <w:qFormat/>
    <w:rPr>
      <w:rFonts w:eastAsia="Arial Unicode MS"/>
    </w:rPr>
  </w:style>
  <w:style w:type="character" w:styleId="ListLabel5">
    <w:name w:val="ListLabel 5"/>
    <w:qFormat/>
    <w:rPr>
      <w:rFonts w:eastAsia="Arial Unicode MS"/>
    </w:rPr>
  </w:style>
  <w:style w:type="character" w:styleId="ListLabel6">
    <w:name w:val="ListLabel 6"/>
    <w:qFormat/>
    <w:rPr>
      <w:rFonts w:eastAsia="Arial Unicode MS"/>
    </w:rPr>
  </w:style>
  <w:style w:type="character" w:styleId="ListLabel7">
    <w:name w:val="ListLabel 7"/>
    <w:qFormat/>
    <w:rPr>
      <w:rFonts w:eastAsia="Arial Unicode MS"/>
    </w:rPr>
  </w:style>
  <w:style w:type="character" w:styleId="ListLabel8">
    <w:name w:val="ListLabel 8"/>
    <w:qFormat/>
    <w:rPr>
      <w:rFonts w:eastAsia="Arial Unicode MS"/>
    </w:rPr>
  </w:style>
  <w:style w:type="character" w:styleId="ListLabel9">
    <w:name w:val="ListLabel 9"/>
    <w:qFormat/>
    <w:rPr>
      <w:rFonts w:eastAsia="Arial Unicode MS"/>
    </w:rPr>
  </w:style>
  <w:style w:type="character" w:styleId="ListLabel10">
    <w:name w:val="ListLabel 10"/>
    <w:qFormat/>
    <w:rPr>
      <w:rFonts w:eastAsia="Arial Unicode MS"/>
    </w:rPr>
  </w:style>
  <w:style w:type="character" w:styleId="ListLabel11">
    <w:name w:val="ListLabel 11"/>
    <w:qFormat/>
    <w:rPr>
      <w:rFonts w:eastAsia="Arial Unicode MS"/>
    </w:rPr>
  </w:style>
  <w:style w:type="character" w:styleId="ListLabel12">
    <w:name w:val="ListLabel 12"/>
    <w:qFormat/>
    <w:rPr>
      <w:rFonts w:cs="Arial"/>
      <w:i/>
      <w:color w:val="FF0000"/>
    </w:rPr>
  </w:style>
  <w:style w:type="character" w:styleId="ListLabel13">
    <w:name w:val="ListLabel 13"/>
    <w:qFormat/>
    <w:rPr>
      <w:rFonts w:cs="Arial"/>
      <w:i/>
      <w:color w:val="FF0000"/>
    </w:rPr>
  </w:style>
  <w:style w:type="character" w:styleId="ListLabel14">
    <w:name w:val="ListLabel 14"/>
    <w:qFormat/>
    <w:rPr>
      <w:rFonts w:cs="Arial"/>
      <w:i/>
      <w:color w:val="FF0000"/>
    </w:rPr>
  </w:style>
  <w:style w:type="character" w:styleId="ListLabel15">
    <w:name w:val="ListLabel 15"/>
    <w:qFormat/>
    <w:rPr>
      <w:rFonts w:cs="Arial"/>
      <w:i/>
      <w:color w:val="FF0000"/>
    </w:rPr>
  </w:style>
  <w:style w:type="character" w:styleId="ListLabel16">
    <w:name w:val="ListLabel 16"/>
    <w:qFormat/>
    <w:rPr>
      <w:rFonts w:cs="Arial"/>
      <w:i/>
      <w:color w:val="FF0000"/>
    </w:rPr>
  </w:style>
  <w:style w:type="character" w:styleId="ListLabel17">
    <w:name w:val="ListLabel 17"/>
    <w:qFormat/>
    <w:rPr>
      <w:rFonts w:cs="Arial"/>
      <w:i/>
      <w:color w:val="FF0000"/>
    </w:rPr>
  </w:style>
  <w:style w:type="character" w:styleId="ListLabel18">
    <w:name w:val="ListLabel 18"/>
    <w:qFormat/>
    <w:rPr>
      <w:rFonts w:cs="Arial"/>
      <w:i/>
      <w:color w:val="FF0000"/>
    </w:rPr>
  </w:style>
  <w:style w:type="character" w:styleId="ListLabel19">
    <w:name w:val="ListLabel 19"/>
    <w:qFormat/>
    <w:rPr>
      <w:rFonts w:cs="Arial"/>
      <w:i/>
      <w:color w:val="FF0000"/>
    </w:rPr>
  </w:style>
  <w:style w:type="character" w:styleId="ListLabel20">
    <w:name w:val="ListLabel 20"/>
    <w:qFormat/>
    <w:rPr>
      <w:rFonts w:cs="Arial"/>
      <w:i/>
      <w:color w:val="FF0000"/>
    </w:rPr>
  </w:style>
  <w:style w:type="character" w:styleId="ListLabel21">
    <w:name w:val="ListLabel 21"/>
    <w:qFormat/>
    <w:rPr>
      <w:color w:val="0000FF"/>
    </w:rPr>
  </w:style>
  <w:style w:type="character" w:styleId="ListLabel22">
    <w:name w:val="ListLabel 22"/>
    <w:qFormat/>
    <w:rPr>
      <w:color w:val="0000FF"/>
    </w:rPr>
  </w:style>
  <w:style w:type="character" w:styleId="ListLabel23">
    <w:name w:val="ListLabel 23"/>
    <w:qFormat/>
    <w:rPr>
      <w:color w:val="0000FF"/>
    </w:rPr>
  </w:style>
  <w:style w:type="character" w:styleId="ListLabel24">
    <w:name w:val="ListLabel 24"/>
    <w:qFormat/>
    <w:rPr>
      <w:color w:val="0000FF"/>
    </w:rPr>
  </w:style>
  <w:style w:type="character" w:styleId="ListLabel25">
    <w:name w:val="ListLabel 25"/>
    <w:qFormat/>
    <w:rPr>
      <w:color w:val="0000FF"/>
    </w:rPr>
  </w:style>
  <w:style w:type="character" w:styleId="ListLabel26">
    <w:name w:val="ListLabel 26"/>
    <w:qFormat/>
    <w:rPr>
      <w:color w:val="0000FF"/>
    </w:rPr>
  </w:style>
  <w:style w:type="character" w:styleId="ListLabel27">
    <w:name w:val="ListLabel 27"/>
    <w:qFormat/>
    <w:rPr>
      <w:color w:val="0000FF"/>
    </w:rPr>
  </w:style>
  <w:style w:type="character" w:styleId="ListLabel28">
    <w:name w:val="ListLabel 28"/>
    <w:qFormat/>
    <w:rPr>
      <w:color w:val="0000FF"/>
    </w:rPr>
  </w:style>
  <w:style w:type="character" w:styleId="ListLabel29">
    <w:name w:val="ListLabel 29"/>
    <w:qFormat/>
    <w:rPr>
      <w:color w:val="0000FF"/>
    </w:rPr>
  </w:style>
  <w:style w:type="character" w:styleId="ListLabel30">
    <w:name w:val="ListLabel 30"/>
    <w:qFormat/>
    <w:rPr>
      <w:b w:val="false"/>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b w:val="false"/>
    </w:rPr>
  </w:style>
  <w:style w:type="character" w:styleId="ListLabel37">
    <w:name w:val="ListLabel 37"/>
    <w:qFormat/>
    <w:rPr>
      <w:b w:val="false"/>
    </w:rPr>
  </w:style>
  <w:style w:type="character" w:styleId="ListLabel38">
    <w:name w:val="ListLabel 38"/>
    <w:qFormat/>
    <w:rPr>
      <w:b w:val="false"/>
    </w:rPr>
  </w:style>
  <w:style w:type="character" w:styleId="ListLabel39">
    <w:name w:val="ListLabel 39"/>
    <w:qFormat/>
    <w:rPr>
      <w:b/>
      <w:i w:val="false"/>
    </w:rPr>
  </w:style>
  <w:style w:type="character" w:styleId="ListLabel40">
    <w:name w:val="ListLabel 40"/>
    <w:qFormat/>
    <w:rPr>
      <w:b/>
      <w:i w:val="false"/>
      <w:color w:val="00000A"/>
    </w:rPr>
  </w:style>
  <w:style w:type="character" w:styleId="ListLabel41">
    <w:name w:val="ListLabel 41"/>
    <w:qFormat/>
    <w:rPr>
      <w:b/>
      <w:i w:val="false"/>
    </w:rPr>
  </w:style>
  <w:style w:type="character" w:styleId="ListLabel42">
    <w:name w:val="ListLabel 42"/>
    <w:qFormat/>
    <w:rPr>
      <w:b/>
      <w:i w:val="false"/>
    </w:rPr>
  </w:style>
  <w:style w:type="character" w:styleId="ListLabel43">
    <w:name w:val="ListLabel 43"/>
    <w:qFormat/>
    <w:rPr>
      <w:b/>
      <w:i w:val="false"/>
    </w:rPr>
  </w:style>
  <w:style w:type="character" w:styleId="ListLabel44">
    <w:name w:val="ListLabel 44"/>
    <w:qFormat/>
    <w:rPr>
      <w:b/>
      <w:i w:val="false"/>
    </w:rPr>
  </w:style>
  <w:style w:type="character" w:styleId="ListLabel45">
    <w:name w:val="ListLabel 45"/>
    <w:qFormat/>
    <w:rPr>
      <w:b/>
      <w:i w:val="false"/>
      <w:color w:val="00000A"/>
    </w:rPr>
  </w:style>
  <w:style w:type="character" w:styleId="ListLabel46">
    <w:name w:val="ListLabel 46"/>
    <w:qFormat/>
    <w:rPr>
      <w:b/>
      <w:i w:val="false"/>
    </w:rPr>
  </w:style>
  <w:style w:type="character" w:styleId="ListLabel47">
    <w:name w:val="ListLabel 47"/>
    <w:qFormat/>
    <w:rPr>
      <w:b/>
      <w:i w:val="false"/>
    </w:rPr>
  </w:style>
  <w:style w:type="character" w:styleId="ListLabel48">
    <w:name w:val="ListLabel 48"/>
    <w:qFormat/>
    <w:rPr>
      <w:b/>
      <w:i w:val="false"/>
    </w:rPr>
  </w:style>
  <w:style w:type="character" w:styleId="ListLabel49">
    <w:name w:val="ListLabel 49"/>
    <w:qFormat/>
    <w:rPr>
      <w:i w:val="false"/>
    </w:rPr>
  </w:style>
  <w:style w:type="character" w:styleId="ListLabel50">
    <w:name w:val="ListLabel 50"/>
    <w:qFormat/>
    <w:rPr>
      <w:b/>
    </w:rPr>
  </w:style>
  <w:style w:type="character" w:styleId="ListLabel51">
    <w:name w:val="ListLabel 51"/>
    <w:qFormat/>
    <w:rPr>
      <w:i w:val="false"/>
    </w:rPr>
  </w:style>
  <w:style w:type="character" w:styleId="ListLabel52">
    <w:name w:val="ListLabel 52"/>
    <w:qFormat/>
    <w:rPr>
      <w:b/>
    </w:rPr>
  </w:style>
  <w:style w:type="character" w:styleId="ListLabel53">
    <w:name w:val="ListLabel 53"/>
    <w:qFormat/>
    <w:rPr>
      <w:i w:val="false"/>
    </w:rPr>
  </w:style>
  <w:style w:type="character" w:styleId="ListLabel54">
    <w:name w:val="ListLabel 54"/>
    <w:qFormat/>
    <w:rPr>
      <w:b/>
    </w:rPr>
  </w:style>
  <w:style w:type="character" w:styleId="ListLabel55">
    <w:name w:val="ListLabel 55"/>
    <w:qFormat/>
    <w:rPr>
      <w:i w:val="false"/>
    </w:rPr>
  </w:style>
  <w:style w:type="character" w:styleId="ListLabel56">
    <w:name w:val="ListLabel 56"/>
    <w:qFormat/>
    <w:rPr>
      <w:color w:val="00000A"/>
    </w:rPr>
  </w:style>
  <w:style w:type="character" w:styleId="ListLabel57">
    <w:name w:val="ListLabel 57"/>
    <w:qFormat/>
    <w:rPr>
      <w:rFonts w:cs="Arial"/>
    </w:rPr>
  </w:style>
  <w:style w:type="character" w:styleId="ListLabel58">
    <w:name w:val="ListLabel 58"/>
    <w:qFormat/>
    <w:rPr>
      <w:rFonts w:cs="Arial"/>
    </w:rPr>
  </w:style>
  <w:style w:type="character" w:styleId="ListLabel59">
    <w:name w:val="ListLabel 59"/>
    <w:qFormat/>
    <w:rPr>
      <w:rFonts w:cs="Arial"/>
    </w:rPr>
  </w:style>
  <w:style w:type="character" w:styleId="ListLabel60">
    <w:name w:val="ListLabel 60"/>
    <w:qFormat/>
    <w:rPr>
      <w:rFonts w:cs="Arial"/>
    </w:rPr>
  </w:style>
  <w:style w:type="character" w:styleId="ListLabel61">
    <w:name w:val="ListLabel 61"/>
    <w:qFormat/>
    <w:rPr>
      <w:rFonts w:cs="Arial"/>
    </w:rPr>
  </w:style>
  <w:style w:type="character" w:styleId="ListLabel62">
    <w:name w:val="ListLabel 62"/>
    <w:qFormat/>
    <w:rPr>
      <w:rFonts w:cs="Arial"/>
    </w:rPr>
  </w:style>
  <w:style w:type="character" w:styleId="ListLabel63">
    <w:name w:val="ListLabel 63"/>
    <w:qFormat/>
    <w:rPr>
      <w:rFonts w:cs="Arial"/>
    </w:rPr>
  </w:style>
  <w:style w:type="character" w:styleId="ListLabel64">
    <w:name w:val="ListLabel 64"/>
    <w:qFormat/>
    <w:rPr>
      <w:rFonts w:cs="Arial"/>
    </w:rPr>
  </w:style>
  <w:style w:type="character" w:styleId="ListLabel65">
    <w:name w:val="ListLabel 65"/>
    <w:qFormat/>
    <w:rPr>
      <w:rFonts w:cs="Arial"/>
    </w:rPr>
  </w:style>
  <w:style w:type="character" w:styleId="ListLabel66">
    <w:name w:val="ListLabel 66"/>
    <w:qFormat/>
    <w:rPr>
      <w:i w:val="false"/>
    </w:rPr>
  </w:style>
  <w:style w:type="character" w:styleId="ListLabel67">
    <w:name w:val="ListLabel 67"/>
    <w:qFormat/>
    <w:rPr>
      <w:b/>
    </w:rPr>
  </w:style>
  <w:style w:type="character" w:styleId="ListLabel68">
    <w:name w:val="ListLabel 68"/>
    <w:qFormat/>
    <w:rPr>
      <w:b/>
      <w:i w:val="false"/>
    </w:rPr>
  </w:style>
  <w:style w:type="character" w:styleId="ListLabel69">
    <w:name w:val="ListLabel 69"/>
    <w:qFormat/>
    <w:rPr>
      <w:rFonts w:cs="Arial"/>
    </w:rPr>
  </w:style>
  <w:style w:type="character" w:styleId="ListLabel70">
    <w:name w:val="ListLabel 70"/>
    <w:qFormat/>
    <w:rPr>
      <w:rFonts w:cs="Arial"/>
    </w:rPr>
  </w:style>
  <w:style w:type="character" w:styleId="ListLabel71">
    <w:name w:val="ListLabel 71"/>
    <w:qFormat/>
    <w:rPr>
      <w:rFonts w:cs="Arial"/>
    </w:rPr>
  </w:style>
  <w:style w:type="character" w:styleId="ListLabel72">
    <w:name w:val="ListLabel 72"/>
    <w:qFormat/>
    <w:rPr>
      <w:rFonts w:cs="Arial"/>
    </w:rPr>
  </w:style>
  <w:style w:type="character" w:styleId="ListLabel73">
    <w:name w:val="ListLabel 73"/>
    <w:qFormat/>
    <w:rPr>
      <w:rFonts w:cs="Arial"/>
    </w:rPr>
  </w:style>
  <w:style w:type="character" w:styleId="ListLabel74">
    <w:name w:val="ListLabel 74"/>
    <w:qFormat/>
    <w:rPr>
      <w:rFonts w:cs="Arial"/>
    </w:rPr>
  </w:style>
  <w:style w:type="character" w:styleId="ListLabel75">
    <w:name w:val="ListLabel 75"/>
    <w:qFormat/>
    <w:rPr>
      <w:rFonts w:cs="Arial"/>
    </w:rPr>
  </w:style>
  <w:style w:type="character" w:styleId="ListLabel76">
    <w:name w:val="ListLabel 76"/>
    <w:qFormat/>
    <w:rPr>
      <w:rFonts w:cs="Arial"/>
    </w:rPr>
  </w:style>
  <w:style w:type="character" w:styleId="ListLabel77">
    <w:name w:val="ListLabel 77"/>
    <w:qFormat/>
    <w:rPr>
      <w:rFonts w:cs="Arial"/>
    </w:rPr>
  </w:style>
  <w:style w:type="character" w:styleId="ListLabel78">
    <w:name w:val="ListLabel 78"/>
    <w:qFormat/>
    <w:rPr>
      <w:i w:val="false"/>
    </w:rPr>
  </w:style>
  <w:style w:type="character" w:styleId="Fontepare1gpadre3o">
    <w:name w:val="Fonte paráe1g. padrãe3o"/>
    <w:qFormat/>
    <w:rPr/>
  </w:style>
  <w:style w:type="character" w:styleId="ListLabel79">
    <w:name w:val="ListLabel 79"/>
    <w:qFormat/>
    <w:rPr>
      <w:b/>
    </w:rPr>
  </w:style>
  <w:style w:type="character" w:styleId="ListLabel80">
    <w:name w:val="ListLabel 80"/>
    <w:qFormat/>
    <w:rPr>
      <w:b/>
      <w:i w:val="false"/>
    </w:rPr>
  </w:style>
  <w:style w:type="character" w:styleId="ListLabel81">
    <w:name w:val="ListLabel 81"/>
    <w:qFormat/>
    <w:rPr>
      <w:rFonts w:cs="Arial"/>
    </w:rPr>
  </w:style>
  <w:style w:type="character" w:styleId="ListLabel82">
    <w:name w:val="ListLabel 82"/>
    <w:qFormat/>
    <w:rPr>
      <w:rFonts w:cs="Arial"/>
    </w:rPr>
  </w:style>
  <w:style w:type="character" w:styleId="ListLabel83">
    <w:name w:val="ListLabel 83"/>
    <w:qFormat/>
    <w:rPr>
      <w:rFonts w:cs="Arial"/>
    </w:rPr>
  </w:style>
  <w:style w:type="character" w:styleId="ListLabel84">
    <w:name w:val="ListLabel 84"/>
    <w:qFormat/>
    <w:rPr>
      <w:rFonts w:cs="Arial"/>
    </w:rPr>
  </w:style>
  <w:style w:type="character" w:styleId="ListLabel85">
    <w:name w:val="ListLabel 85"/>
    <w:qFormat/>
    <w:rPr>
      <w:rFonts w:cs="Arial"/>
    </w:rPr>
  </w:style>
  <w:style w:type="character" w:styleId="ListLabel86">
    <w:name w:val="ListLabel 86"/>
    <w:qFormat/>
    <w:rPr>
      <w:rFonts w:cs="Arial"/>
    </w:rPr>
  </w:style>
  <w:style w:type="character" w:styleId="ListLabel87">
    <w:name w:val="ListLabel 87"/>
    <w:qFormat/>
    <w:rPr>
      <w:rFonts w:cs="Arial"/>
    </w:rPr>
  </w:style>
  <w:style w:type="character" w:styleId="ListLabel88">
    <w:name w:val="ListLabel 88"/>
    <w:qFormat/>
    <w:rPr>
      <w:rFonts w:cs="Arial"/>
    </w:rPr>
  </w:style>
  <w:style w:type="character" w:styleId="ListLabel89">
    <w:name w:val="ListLabel 89"/>
    <w:qFormat/>
    <w:rPr>
      <w:rFonts w:cs="Arial"/>
    </w:rPr>
  </w:style>
  <w:style w:type="character" w:styleId="ListLabel90">
    <w:name w:val="ListLabel 90"/>
    <w:qFormat/>
    <w:rPr>
      <w:i w:val="false"/>
    </w:rPr>
  </w:style>
  <w:style w:type="character" w:styleId="ListLabel91">
    <w:name w:val="ListLabel 91"/>
    <w:qFormat/>
    <w:rPr>
      <w:b/>
    </w:rPr>
  </w:style>
  <w:style w:type="character" w:styleId="ListLabel92">
    <w:name w:val="ListLabel 92"/>
    <w:qFormat/>
    <w:rPr>
      <w:b/>
      <w:i w:val="false"/>
    </w:rPr>
  </w:style>
  <w:style w:type="character" w:styleId="ListLabel93">
    <w:name w:val="ListLabel 93"/>
    <w:qFormat/>
    <w:rPr>
      <w:rFonts w:cs="Arial"/>
    </w:rPr>
  </w:style>
  <w:style w:type="character" w:styleId="ListLabel94">
    <w:name w:val="ListLabel 94"/>
    <w:qFormat/>
    <w:rPr>
      <w:rFonts w:cs="Arial"/>
    </w:rPr>
  </w:style>
  <w:style w:type="character" w:styleId="ListLabel95">
    <w:name w:val="ListLabel 95"/>
    <w:qFormat/>
    <w:rPr>
      <w:rFonts w:cs="Arial"/>
    </w:rPr>
  </w:style>
  <w:style w:type="character" w:styleId="ListLabel96">
    <w:name w:val="ListLabel 96"/>
    <w:qFormat/>
    <w:rPr>
      <w:rFonts w:cs="Arial"/>
    </w:rPr>
  </w:style>
  <w:style w:type="character" w:styleId="ListLabel97">
    <w:name w:val="ListLabel 97"/>
    <w:qFormat/>
    <w:rPr>
      <w:rFonts w:cs="Arial"/>
    </w:rPr>
  </w:style>
  <w:style w:type="character" w:styleId="ListLabel98">
    <w:name w:val="ListLabel 98"/>
    <w:qFormat/>
    <w:rPr>
      <w:rFonts w:cs="Arial"/>
    </w:rPr>
  </w:style>
  <w:style w:type="character" w:styleId="ListLabel99">
    <w:name w:val="ListLabel 99"/>
    <w:qFormat/>
    <w:rPr>
      <w:rFonts w:cs="Arial"/>
    </w:rPr>
  </w:style>
  <w:style w:type="character" w:styleId="ListLabel100">
    <w:name w:val="ListLabel 100"/>
    <w:qFormat/>
    <w:rPr>
      <w:rFonts w:cs="Arial"/>
    </w:rPr>
  </w:style>
  <w:style w:type="character" w:styleId="ListLabel101">
    <w:name w:val="ListLabel 101"/>
    <w:qFormat/>
    <w:rPr>
      <w:rFonts w:cs="Arial"/>
    </w:rPr>
  </w:style>
  <w:style w:type="character" w:styleId="Nfaseforte">
    <w:name w:val="Ênfase forte"/>
    <w:qFormat/>
    <w:rPr>
      <w:b/>
      <w:bCs/>
    </w:rPr>
  </w:style>
  <w:style w:type="character" w:styleId="Fontepargpadro">
    <w:name w:val="Fonte parág. padrão"/>
    <w:qFormat/>
    <w:rPr/>
  </w:style>
  <w:style w:type="character" w:styleId="ListLabel102">
    <w:name w:val="ListLabel 102"/>
    <w:qFormat/>
    <w:rPr>
      <w:b/>
    </w:rPr>
  </w:style>
  <w:style w:type="character" w:styleId="ListLabel103">
    <w:name w:val="ListLabel 103"/>
    <w:qFormat/>
    <w:rPr>
      <w:b/>
      <w:i w:val="false"/>
    </w:rPr>
  </w:style>
  <w:style w:type="character" w:styleId="ListLabel104">
    <w:name w:val="ListLabel 104"/>
    <w:qFormat/>
    <w:rPr>
      <w:b/>
    </w:rPr>
  </w:style>
  <w:style w:type="character" w:styleId="ListLabel105">
    <w:name w:val="ListLabel 105"/>
    <w:qFormat/>
    <w:rPr>
      <w:b/>
      <w:i w:val="false"/>
    </w:rPr>
  </w:style>
  <w:style w:type="character" w:styleId="ListLabel106">
    <w:name w:val="ListLabel 106"/>
    <w:qFormat/>
    <w:rPr>
      <w:b/>
    </w:rPr>
  </w:style>
  <w:style w:type="character" w:styleId="ListLabel107">
    <w:name w:val="ListLabel 107"/>
    <w:qFormat/>
    <w:rPr>
      <w:b/>
      <w:i w:val="false"/>
    </w:rPr>
  </w:style>
  <w:style w:type="character" w:styleId="ListLabel108">
    <w:name w:val="ListLabel 108"/>
    <w:qFormat/>
    <w:rPr>
      <w:b/>
    </w:rPr>
  </w:style>
  <w:style w:type="character" w:styleId="ListLabel109">
    <w:name w:val="ListLabel 109"/>
    <w:qFormat/>
    <w:rPr>
      <w:b/>
      <w:i w:val="false"/>
    </w:rPr>
  </w:style>
  <w:style w:type="character" w:styleId="ListLabel110">
    <w:name w:val="ListLabel 110"/>
    <w:qFormat/>
    <w:rPr>
      <w:b/>
    </w:rPr>
  </w:style>
  <w:style w:type="character" w:styleId="ListLabel111">
    <w:name w:val="ListLabel 111"/>
    <w:qFormat/>
    <w:rPr>
      <w:b/>
      <w:i w:val="false"/>
    </w:rPr>
  </w:style>
  <w:style w:type="character" w:styleId="ListLabel112">
    <w:name w:val="ListLabel 112"/>
    <w:qFormat/>
    <w:rPr>
      <w:b/>
    </w:rPr>
  </w:style>
  <w:style w:type="character" w:styleId="ListLabel113">
    <w:name w:val="ListLabel 113"/>
    <w:qFormat/>
    <w:rPr>
      <w:b/>
      <w:i w:val="false"/>
    </w:rPr>
  </w:style>
  <w:style w:type="character" w:styleId="ListLabel114">
    <w:name w:val="ListLabel 114"/>
    <w:qFormat/>
    <w:rPr>
      <w:b/>
    </w:rPr>
  </w:style>
  <w:style w:type="character" w:styleId="ListLabel115">
    <w:name w:val="ListLabel 115"/>
    <w:qFormat/>
    <w:rPr>
      <w:b/>
      <w:i w:val="false"/>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qFormat/>
    <w:pPr>
      <w:spacing w:before="0" w:after="0"/>
      <w:ind w:left="720" w:right="0" w:hanging="0"/>
      <w:contextualSpacing/>
    </w:pPr>
    <w:rPr/>
  </w:style>
  <w:style w:type="paragraph" w:styleId="NormalWeb">
    <w:name w:val="Normal (Web)"/>
    <w:basedOn w:val="Normal"/>
    <w:qFormat/>
    <w:pPr>
      <w:spacing w:before="280" w:after="280"/>
    </w:pPr>
    <w:rPr>
      <w:rFonts w:ascii="Times New Roman" w:hAnsi="Times New Roman" w:cs="Times New Roman"/>
    </w:rPr>
  </w:style>
  <w:style w:type="paragraph" w:styleId="BalloonText">
    <w:name w:val="Balloon Text"/>
    <w:basedOn w:val="Normal"/>
    <w:qFormat/>
    <w:pPr/>
    <w:rPr>
      <w:rFonts w:ascii="Tahoma" w:hAnsi="Tahoma" w:cs="Times New Roman"/>
      <w:sz w:val="16"/>
      <w:szCs w:val="16"/>
      <w:lang w:val="x-none" w:eastAsia="x-none"/>
    </w:rPr>
  </w:style>
  <w:style w:type="paragraph" w:styleId="Nvel2">
    <w:name w:val="Nível 2"/>
    <w:basedOn w:val="Normal"/>
    <w:next w:val="Normal"/>
    <w:qFormat/>
    <w:pPr>
      <w:spacing w:before="0" w:after="120"/>
      <w:jc w:val="both"/>
    </w:pPr>
    <w:rPr>
      <w:rFonts w:cs="Times New Roman"/>
      <w:b/>
      <w:szCs w:val="20"/>
    </w:rPr>
  </w:style>
  <w:style w:type="paragraph" w:styleId="Quote">
    <w:name w:val="Quote"/>
    <w:basedOn w:val="Normal"/>
    <w:next w:val="Normal"/>
    <w:qFormat/>
    <w:pPr>
      <w:pBdr>
        <w:top w:val="single" w:sz="4" w:space="1" w:color="1F497D"/>
        <w:left w:val="single" w:sz="4" w:space="4" w:color="1F497D"/>
        <w:bottom w:val="single" w:sz="4" w:space="1" w:color="1F497D"/>
        <w:right w:val="single" w:sz="4" w:space="4" w:color="1F497D"/>
      </w:pBdr>
      <w:shd w:val="clear" w:fill="FFFFCC"/>
      <w:spacing w:before="120" w:after="0"/>
      <w:jc w:val="both"/>
    </w:pPr>
    <w:rPr>
      <w:rFonts w:eastAsia="Calibri" w:cs="Times New Roman"/>
      <w:i/>
      <w:iCs/>
      <w:color w:val="000000"/>
      <w:lang w:val="x-none" w:eastAsia="en-US"/>
    </w:rPr>
  </w:style>
  <w:style w:type="paragraph" w:styleId="ListBullet5">
    <w:name w:val="List Bullet 5"/>
    <w:basedOn w:val="Normal"/>
    <w:qFormat/>
    <w:pPr>
      <w:spacing w:before="0" w:after="0"/>
      <w:contextualSpacing/>
    </w:pPr>
    <w:rPr/>
  </w:style>
  <w:style w:type="paragraph" w:styleId="Citao2">
    <w:name w:val="citação 2"/>
    <w:basedOn w:val="Quote"/>
    <w:qFormat/>
    <w:pPr>
      <w:shd w:val="clear" w:fill="FFFFCC"/>
    </w:pPr>
    <w:rPr>
      <w:szCs w:val="20"/>
    </w:rPr>
  </w:style>
  <w:style w:type="paragraph"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fill="FFFFCC"/>
      <w:spacing w:before="120" w:after="0"/>
      <w:jc w:val="both"/>
    </w:pPr>
    <w:rPr>
      <w:rFonts w:eastAsia="Calibri"/>
      <w:i/>
      <w:iCs/>
      <w:color w:val="000000"/>
      <w:lang w:eastAsia="en-US"/>
    </w:rPr>
  </w:style>
  <w:style w:type="paragraph" w:styleId="Cabealho">
    <w:name w:val="Header"/>
    <w:basedOn w:val="Normal"/>
    <w:pPr>
      <w:tabs>
        <w:tab w:val="center" w:pos="4252" w:leader="none"/>
        <w:tab w:val="right" w:pos="8504" w:leader="none"/>
      </w:tabs>
    </w:pPr>
    <w:rPr/>
  </w:style>
  <w:style w:type="paragraph" w:styleId="Rodap">
    <w:name w:val="Footer"/>
    <w:basedOn w:val="Normal"/>
    <w:pPr>
      <w:tabs>
        <w:tab w:val="center" w:pos="4252" w:leader="none"/>
        <w:tab w:val="right" w:pos="8504" w:leader="none"/>
      </w:tabs>
    </w:pPr>
    <w:rPr/>
  </w:style>
  <w:style w:type="paragraph" w:styleId="Nivel1">
    <w:name w:val="Nivel1"/>
    <w:basedOn w:val="Ttulo1"/>
    <w:next w:val="Normal"/>
    <w:qFormat/>
    <w:pPr>
      <w:spacing w:lineRule="auto" w:line="276" w:before="480" w:after="120"/>
      <w:ind w:left="357" w:right="0" w:hanging="357"/>
      <w:jc w:val="both"/>
    </w:pPr>
    <w:rPr>
      <w:rFonts w:ascii="Arial" w:hAnsi="Arial" w:cs="Arial"/>
      <w:b/>
      <w:color w:val="000000"/>
      <w:sz w:val="20"/>
      <w:szCs w:val="20"/>
    </w:rPr>
  </w:style>
  <w:style w:type="paragraph" w:styleId="Annotationtext">
    <w:name w:val="annotation text"/>
    <w:basedOn w:val="Normal"/>
    <w:qFormat/>
    <w:pPr/>
    <w:rPr>
      <w:szCs w:val="20"/>
    </w:rPr>
  </w:style>
  <w:style w:type="paragraph" w:styleId="Annotationsubject">
    <w:name w:val="annotation subject"/>
    <w:basedOn w:val="Annotationtext"/>
    <w:qFormat/>
    <w:pPr/>
    <w:rPr>
      <w:b/>
      <w:bCs/>
    </w:rPr>
  </w:style>
  <w:style w:type="paragraph" w:styleId="Textojustificadorecuoprimeiralinha">
    <w:name w:val="texto_justificado_recuo_primeira_linha"/>
    <w:basedOn w:val="Normal"/>
    <w:qFormat/>
    <w:pPr>
      <w:spacing w:before="280" w:after="280"/>
    </w:pPr>
    <w:rPr>
      <w:rFonts w:ascii="Times New Roman" w:hAnsi="Times New Roman" w:cs="Times New Roman"/>
      <w:sz w:val="24"/>
    </w:rPr>
  </w:style>
  <w:style w:type="paragraph" w:styleId="Textocentralizado">
    <w:name w:val="texto_centralizado"/>
    <w:basedOn w:val="Normal"/>
    <w:qFormat/>
    <w:pPr>
      <w:spacing w:before="280" w:after="280"/>
    </w:pPr>
    <w:rPr>
      <w:rFonts w:ascii="Times New Roman" w:hAnsi="Times New Roman" w:cs="Times New Roman"/>
      <w:sz w:val="24"/>
    </w:rPr>
  </w:style>
  <w:style w:type="paragraph" w:styleId="PargrafodaLista1">
    <w:name w:val="Parágrafo da Lista1"/>
    <w:basedOn w:val="Normal"/>
    <w:qFormat/>
    <w:pPr>
      <w:ind w:left="720" w:right="0" w:hanging="0"/>
    </w:pPr>
    <w:rPr>
      <w:rFonts w:ascii="Ecofont_Spranq_eco_Sans" w:hAnsi="Ecofont_Spranq_eco_Sans"/>
      <w:sz w:val="24"/>
    </w:rPr>
  </w:style>
  <w:style w:type="paragraph" w:styleId="Citao1">
    <w:name w:val="Citação1"/>
    <w:basedOn w:val="Normal"/>
    <w:qFormat/>
    <w:pPr>
      <w:pBdr>
        <w:bottom w:val="single" w:sz="4" w:space="1" w:color="1F497D"/>
      </w:pBdr>
    </w:pPr>
    <w:rPr>
      <w:rFonts w:ascii="Ecofont_Spranq_eco_Sans" w:hAnsi="Ecofont_Spranq_eco_Sans"/>
      <w:i/>
      <w:color w:val="000000"/>
      <w:sz w:val="24"/>
      <w:highlight w:val="yellow"/>
      <w:lang w:val="x-none" w:eastAsia="en-US"/>
    </w:rPr>
  </w:style>
  <w:style w:type="paragraph" w:styleId="LONormal">
    <w:name w:val="LO-Normal"/>
    <w:qFormat/>
    <w:pPr>
      <w:widowControl w:val="false"/>
      <w:suppressAutoHyphens w:val="true"/>
      <w:overflowPunct w:val="false"/>
      <w:bidi w:val="0"/>
      <w:ind w:left="0" w:right="0" w:hanging="0"/>
      <w:jc w:val="left"/>
      <w:textAlignment w:val="baseline"/>
    </w:pPr>
    <w:rPr>
      <w:rFonts w:ascii="Calibri" w:hAnsi="Calibri" w:eastAsia="Liberation Serif" w:cs="Liberation Serif"/>
      <w:color w:val="000000"/>
      <w:sz w:val="24"/>
      <w:szCs w:val="24"/>
      <w:lang w:val="en-US" w:eastAsia="hi-IN" w:bidi="ar-SA"/>
    </w:rPr>
  </w:style>
  <w:style w:type="paragraph" w:styleId="Contedodatabela">
    <w:name w:val="Conteúdo da tabela"/>
    <w:basedOn w:val="Normal"/>
    <w:qFormat/>
    <w:pPr/>
    <w:rPr/>
  </w:style>
  <w:style w:type="paragraph" w:styleId="Contedodetabela">
    <w:name w:val="Conteúdo de tabela"/>
    <w:basedOn w:val="Normal"/>
    <w:qFormat/>
    <w:pPr>
      <w:suppressLineNumbers/>
    </w:pPr>
    <w:rPr/>
  </w:style>
  <w:style w:type="paragraph" w:styleId="Standard">
    <w:name w:val="Standard"/>
    <w:qFormat/>
    <w:pPr>
      <w:widowControl/>
      <w:suppressAutoHyphens w:val="true"/>
      <w:overflowPunct w:val="false"/>
      <w:bidi w:val="0"/>
      <w:jc w:val="left"/>
    </w:pPr>
    <w:rPr>
      <w:rFonts w:ascii="Calibri" w:hAnsi="Calibri" w:eastAsia="Arial" w:cs="Calibri"/>
      <w:color w:val="00000A"/>
      <w:sz w:val="22"/>
      <w:szCs w:val="24"/>
      <w:lang w:val="en-US" w:eastAsia="en-US" w:bidi="en-U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modelo de modelo de minuta</Template>
  <TotalTime>160</TotalTime>
  <Application>LibreOffice/5.2.6.2$Windows_x86 LibreOffice_project/a3100ed2409ebf1c212f5048fbe377c281438fdc</Application>
  <Pages>11</Pages>
  <Words>3846</Words>
  <Characters>22399</Characters>
  <CharactersWithSpaces>26092</CharactersWithSpaces>
  <Paragraphs>171</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2017-10-27T16:58:00Z</dcterms:created>
  <dc:creator>Adriano</dc:creator>
  <dc:description/>
  <dc:language>pt-BR</dc:language>
  <cp:lastModifiedBy/>
  <cp:lastPrinted>2018-07-26T08:53:13Z</cp:lastPrinted>
  <dcterms:modified xsi:type="dcterms:W3CDTF">2018-07-26T09:04:34Z</dcterms:modified>
  <cp:revision>31</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