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F4F" w:rsidRDefault="00DF4F4F">
      <w:pPr>
        <w:suppressAutoHyphens w:val="0"/>
        <w:spacing w:line="360" w:lineRule="auto"/>
        <w:rPr>
          <w:b/>
          <w:bCs/>
          <w:szCs w:val="24"/>
          <w:u w:val="single"/>
          <w:lang w:eastAsia="pt-BR"/>
        </w:rPr>
      </w:pPr>
    </w:p>
    <w:p w:rsidR="00D0149F" w:rsidRPr="00D01A32" w:rsidRDefault="00873DAD" w:rsidP="00D0149F">
      <w:pPr>
        <w:suppressAutoHyphens w:val="0"/>
        <w:spacing w:line="360" w:lineRule="auto"/>
        <w:jc w:val="both"/>
        <w:rPr>
          <w:szCs w:val="24"/>
          <w:lang w:eastAsia="pt-BR"/>
        </w:rPr>
      </w:pPr>
      <w:r>
        <w:rPr>
          <w:b/>
          <w:bCs/>
          <w:szCs w:val="24"/>
          <w:u w:val="single"/>
          <w:lang w:eastAsia="pt-BR"/>
        </w:rPr>
        <w:t>PARECER n. 00</w:t>
      </w:r>
      <w:r w:rsidR="006552CE">
        <w:rPr>
          <w:b/>
          <w:bCs/>
          <w:szCs w:val="24"/>
          <w:u w:val="single"/>
          <w:lang w:eastAsia="pt-BR"/>
        </w:rPr>
        <w:t>259</w:t>
      </w:r>
      <w:r w:rsidR="00D0149F" w:rsidRPr="00D01A32">
        <w:rPr>
          <w:b/>
          <w:bCs/>
          <w:szCs w:val="24"/>
          <w:u w:val="single"/>
          <w:lang w:eastAsia="pt-BR"/>
        </w:rPr>
        <w:t>/201</w:t>
      </w:r>
      <w:r w:rsidR="00D0149F">
        <w:rPr>
          <w:b/>
          <w:bCs/>
          <w:szCs w:val="24"/>
          <w:u w:val="single"/>
          <w:lang w:eastAsia="pt-BR"/>
        </w:rPr>
        <w:t>7</w:t>
      </w:r>
      <w:r w:rsidR="00D0149F" w:rsidRPr="00D01A32">
        <w:rPr>
          <w:b/>
          <w:bCs/>
          <w:szCs w:val="24"/>
          <w:u w:val="single"/>
          <w:lang w:eastAsia="pt-BR"/>
        </w:rPr>
        <w:t>/PROC/PFIFSERTÃO PERNAMBUCANO/PGF/AGU</w:t>
      </w:r>
    </w:p>
    <w:p w:rsidR="00D0149F" w:rsidRDefault="00D0149F" w:rsidP="00D0149F">
      <w:pPr>
        <w:suppressAutoHyphens w:val="0"/>
        <w:spacing w:line="360" w:lineRule="auto"/>
        <w:jc w:val="both"/>
        <w:rPr>
          <w:b/>
          <w:bCs/>
          <w:szCs w:val="24"/>
          <w:lang w:eastAsia="pt-BR"/>
        </w:rPr>
      </w:pPr>
    </w:p>
    <w:p w:rsidR="00D0149F" w:rsidRDefault="00C514B3" w:rsidP="00D0149F">
      <w:pPr>
        <w:suppressAutoHyphens w:val="0"/>
        <w:spacing w:line="360" w:lineRule="auto"/>
        <w:jc w:val="both"/>
        <w:rPr>
          <w:b/>
          <w:bCs/>
          <w:szCs w:val="24"/>
          <w:lang w:eastAsia="pt-BR"/>
        </w:rPr>
      </w:pPr>
      <w:r>
        <w:rPr>
          <w:b/>
          <w:bCs/>
          <w:szCs w:val="24"/>
          <w:lang w:eastAsia="pt-BR"/>
        </w:rPr>
        <w:t>NUP: 23</w:t>
      </w:r>
      <w:r w:rsidR="00E7651C">
        <w:rPr>
          <w:b/>
          <w:bCs/>
          <w:szCs w:val="24"/>
          <w:lang w:eastAsia="pt-BR"/>
        </w:rPr>
        <w:t>200</w:t>
      </w:r>
      <w:r>
        <w:rPr>
          <w:b/>
          <w:bCs/>
          <w:szCs w:val="24"/>
          <w:lang w:eastAsia="pt-BR"/>
        </w:rPr>
        <w:t>.00</w:t>
      </w:r>
      <w:r w:rsidR="00E7651C">
        <w:rPr>
          <w:b/>
          <w:bCs/>
          <w:szCs w:val="24"/>
          <w:lang w:eastAsia="pt-BR"/>
        </w:rPr>
        <w:t>2110</w:t>
      </w:r>
      <w:r w:rsidR="00D0149F">
        <w:rPr>
          <w:b/>
          <w:bCs/>
          <w:szCs w:val="24"/>
          <w:lang w:eastAsia="pt-BR"/>
        </w:rPr>
        <w:t>/2017-</w:t>
      </w:r>
      <w:r w:rsidR="00E7651C">
        <w:rPr>
          <w:b/>
          <w:bCs/>
          <w:szCs w:val="24"/>
          <w:lang w:eastAsia="pt-BR"/>
        </w:rPr>
        <w:t>10</w:t>
      </w:r>
    </w:p>
    <w:p w:rsidR="00D0149F" w:rsidRDefault="00D0149F" w:rsidP="00D0149F">
      <w:pPr>
        <w:suppressAutoHyphens w:val="0"/>
        <w:spacing w:line="360" w:lineRule="auto"/>
        <w:jc w:val="both"/>
        <w:rPr>
          <w:b/>
          <w:bCs/>
          <w:szCs w:val="24"/>
          <w:lang w:eastAsia="pt-BR"/>
        </w:rPr>
      </w:pPr>
      <w:r w:rsidRPr="00D01A32">
        <w:rPr>
          <w:b/>
          <w:bCs/>
          <w:szCs w:val="24"/>
          <w:lang w:eastAsia="pt-BR"/>
        </w:rPr>
        <w:t xml:space="preserve">INTERESSADOS: </w:t>
      </w:r>
      <w:r>
        <w:rPr>
          <w:b/>
          <w:bCs/>
          <w:szCs w:val="24"/>
          <w:lang w:eastAsia="pt-BR"/>
        </w:rPr>
        <w:t xml:space="preserve">IF SERTÃO PE – </w:t>
      </w:r>
      <w:r w:rsidR="00E7651C" w:rsidRPr="00E7651C">
        <w:rPr>
          <w:b/>
          <w:bCs/>
          <w:i/>
          <w:szCs w:val="24"/>
          <w:lang w:eastAsia="pt-BR"/>
        </w:rPr>
        <w:t>CAMPUS</w:t>
      </w:r>
      <w:r w:rsidR="00E7651C">
        <w:rPr>
          <w:b/>
          <w:bCs/>
          <w:szCs w:val="24"/>
          <w:lang w:eastAsia="pt-BR"/>
        </w:rPr>
        <w:t xml:space="preserve"> PETROLINA ZONA RURAL</w:t>
      </w:r>
    </w:p>
    <w:p w:rsidR="00D0149F" w:rsidRPr="008C4EF9" w:rsidRDefault="00D0149F" w:rsidP="00D0149F">
      <w:pPr>
        <w:suppressAutoHyphens w:val="0"/>
        <w:spacing w:line="360" w:lineRule="auto"/>
        <w:jc w:val="both"/>
        <w:rPr>
          <w:b/>
        </w:rPr>
      </w:pPr>
      <w:r w:rsidRPr="006702BE">
        <w:rPr>
          <w:b/>
          <w:bCs/>
          <w:szCs w:val="24"/>
          <w:lang w:eastAsia="pt-BR"/>
        </w:rPr>
        <w:t>ASSUNTOS:</w:t>
      </w:r>
      <w:r w:rsidRPr="00D01A32">
        <w:rPr>
          <w:b/>
          <w:bCs/>
          <w:szCs w:val="24"/>
          <w:lang w:eastAsia="pt-BR"/>
        </w:rPr>
        <w:t xml:space="preserve"> </w:t>
      </w:r>
      <w:r>
        <w:rPr>
          <w:b/>
          <w:bCs/>
          <w:szCs w:val="24"/>
          <w:lang w:eastAsia="pt-BR"/>
        </w:rPr>
        <w:t>Análise jurídica de c</w:t>
      </w:r>
      <w:r w:rsidRPr="007C432A">
        <w:rPr>
          <w:b/>
        </w:rPr>
        <w:t>ontratação direta, por meio de inexigibilidade de licitação</w:t>
      </w:r>
      <w:r>
        <w:rPr>
          <w:b/>
        </w:rPr>
        <w:t>.</w:t>
      </w:r>
    </w:p>
    <w:p w:rsidR="00DF4F4F" w:rsidRDefault="00DF4F4F">
      <w:pPr>
        <w:suppressAutoHyphens w:val="0"/>
        <w:spacing w:line="360" w:lineRule="auto"/>
        <w:jc w:val="both"/>
        <w:rPr>
          <w:szCs w:val="24"/>
        </w:rPr>
      </w:pPr>
    </w:p>
    <w:p w:rsidR="00EC525A" w:rsidRDefault="00C73FAC" w:rsidP="00AC2917">
      <w:pPr>
        <w:pStyle w:val="NormalWeb"/>
        <w:spacing w:before="0" w:after="0" w:line="360" w:lineRule="auto"/>
        <w:ind w:left="3686"/>
        <w:jc w:val="both"/>
        <w:rPr>
          <w:bCs/>
          <w:color w:val="000000"/>
        </w:rPr>
      </w:pPr>
      <w:r>
        <w:rPr>
          <w:b/>
        </w:rPr>
        <w:t xml:space="preserve">Ementa: </w:t>
      </w:r>
      <w:r w:rsidR="00AC2917" w:rsidRPr="006552CE">
        <w:rPr>
          <w:b/>
          <w:u w:val="single"/>
        </w:rPr>
        <w:t>Parecer Referencial</w:t>
      </w:r>
      <w:r w:rsidR="00AC2917" w:rsidRPr="00AC2917">
        <w:t xml:space="preserve">, </w:t>
      </w:r>
      <w:r w:rsidR="00AC2917">
        <w:t>na</w:t>
      </w:r>
      <w:r w:rsidR="00AC2917" w:rsidRPr="00AC2917">
        <w:t xml:space="preserve"> </w:t>
      </w:r>
      <w:r w:rsidR="00AC2917">
        <w:t>forma da</w:t>
      </w:r>
      <w:r w:rsidR="00AC2917" w:rsidRPr="00AC2917">
        <w:t xml:space="preserve"> P</w:t>
      </w:r>
      <w:r w:rsidR="00AC2917">
        <w:t>ortaria</w:t>
      </w:r>
      <w:r w:rsidR="00AC2917" w:rsidRPr="00AC2917">
        <w:t xml:space="preserve"> </w:t>
      </w:r>
      <w:r w:rsidR="005A1C35">
        <w:t>n</w:t>
      </w:r>
      <w:r w:rsidR="00AC2917" w:rsidRPr="00AC2917">
        <w:t xml:space="preserve">º 262/2017 </w:t>
      </w:r>
      <w:r w:rsidR="005A1C35">
        <w:t>da</w:t>
      </w:r>
      <w:r w:rsidR="00AC2917" w:rsidRPr="00AC2917">
        <w:t xml:space="preserve"> PGF/AGU. P</w:t>
      </w:r>
      <w:r w:rsidR="005A1C35">
        <w:t>agamento</w:t>
      </w:r>
      <w:r w:rsidR="00AC2917" w:rsidRPr="00AC2917">
        <w:t xml:space="preserve"> </w:t>
      </w:r>
      <w:r w:rsidR="005A1C35">
        <w:t>de</w:t>
      </w:r>
      <w:r w:rsidR="00AC2917" w:rsidRPr="00AC2917">
        <w:t xml:space="preserve"> T</w:t>
      </w:r>
      <w:r w:rsidR="005A1C35">
        <w:t>axa</w:t>
      </w:r>
      <w:r w:rsidR="00AC2917" w:rsidRPr="00AC2917">
        <w:t xml:space="preserve"> </w:t>
      </w:r>
      <w:r w:rsidR="005A1C35">
        <w:t>de</w:t>
      </w:r>
      <w:r w:rsidR="00AC2917" w:rsidRPr="00AC2917">
        <w:t xml:space="preserve"> </w:t>
      </w:r>
      <w:r w:rsidR="005A1C35">
        <w:t xml:space="preserve">inscrição para </w:t>
      </w:r>
      <w:r w:rsidR="00D95FE8">
        <w:t xml:space="preserve">evento de </w:t>
      </w:r>
      <w:r w:rsidR="005A1C35">
        <w:t>capacitação de servidores</w:t>
      </w:r>
      <w:r w:rsidR="00AC2917" w:rsidRPr="00AC2917">
        <w:t>. I</w:t>
      </w:r>
      <w:r w:rsidR="005A1C35">
        <w:t>nexigibilidade</w:t>
      </w:r>
      <w:r w:rsidR="00AC2917" w:rsidRPr="00AC2917">
        <w:t xml:space="preserve"> </w:t>
      </w:r>
      <w:r w:rsidR="005A1C35">
        <w:t>de</w:t>
      </w:r>
      <w:r w:rsidR="00AC2917" w:rsidRPr="00AC2917">
        <w:t xml:space="preserve"> </w:t>
      </w:r>
      <w:r w:rsidR="005A1C35">
        <w:t>licitação</w:t>
      </w:r>
      <w:r w:rsidR="00AC2917" w:rsidRPr="00AC2917">
        <w:t>. A</w:t>
      </w:r>
      <w:r w:rsidR="005A1C35">
        <w:t>rt</w:t>
      </w:r>
      <w:r w:rsidR="00AC2917" w:rsidRPr="00AC2917">
        <w:t xml:space="preserve">. 25, II, </w:t>
      </w:r>
      <w:r w:rsidR="005A1C35">
        <w:t>e</w:t>
      </w:r>
      <w:r w:rsidR="00AC2917" w:rsidRPr="00AC2917">
        <w:t xml:space="preserve"> §1º </w:t>
      </w:r>
      <w:r w:rsidR="005A1C35">
        <w:t>c</w:t>
      </w:r>
      <w:r w:rsidR="00AC2917" w:rsidRPr="00AC2917">
        <w:t>/</w:t>
      </w:r>
      <w:r w:rsidR="005A1C35">
        <w:t>c</w:t>
      </w:r>
      <w:r w:rsidR="00AC2917" w:rsidRPr="00AC2917">
        <w:t xml:space="preserve"> </w:t>
      </w:r>
      <w:r w:rsidR="005A1C35">
        <w:t>art</w:t>
      </w:r>
      <w:r w:rsidR="00AC2917" w:rsidRPr="00AC2917">
        <w:t xml:space="preserve">. 13, VI, </w:t>
      </w:r>
      <w:r w:rsidR="005A1C35">
        <w:t>todos da lei</w:t>
      </w:r>
      <w:r w:rsidR="00AC2917" w:rsidRPr="00AC2917">
        <w:t xml:space="preserve"> </w:t>
      </w:r>
      <w:r w:rsidR="005A1C35">
        <w:t>n</w:t>
      </w:r>
      <w:r w:rsidR="00AC2917" w:rsidRPr="00AC2917">
        <w:t>º 8.666/93.</w:t>
      </w:r>
    </w:p>
    <w:p w:rsidR="00DF4F4F" w:rsidRDefault="00C73FAC">
      <w:pPr>
        <w:pStyle w:val="NormalWeb"/>
        <w:spacing w:before="0" w:after="0" w:line="360" w:lineRule="auto"/>
        <w:jc w:val="both"/>
        <w:rPr>
          <w:b/>
          <w:bCs/>
          <w:color w:val="000000"/>
        </w:rPr>
      </w:pPr>
      <w:r>
        <w:rPr>
          <w:b/>
          <w:bCs/>
          <w:color w:val="000000"/>
        </w:rPr>
        <w:t>I – RELATÓRIO</w:t>
      </w:r>
    </w:p>
    <w:p w:rsidR="00DF4F4F" w:rsidRDefault="00DF4F4F">
      <w:pPr>
        <w:pStyle w:val="western"/>
        <w:overflowPunct w:val="0"/>
        <w:spacing w:before="0"/>
        <w:textAlignment w:val="auto"/>
        <w:rPr>
          <w:rFonts w:ascii="Times New Roman" w:hAnsi="Times New Roman" w:cs="Times New Roman"/>
        </w:rPr>
      </w:pPr>
    </w:p>
    <w:p w:rsidR="00DF4F4F" w:rsidRDefault="00C73FAC">
      <w:pPr>
        <w:pStyle w:val="western"/>
        <w:overflowPunct w:val="0"/>
        <w:spacing w:before="0"/>
        <w:textAlignment w:val="auto"/>
      </w:pPr>
      <w:r>
        <w:rPr>
          <w:rFonts w:ascii="Times New Roman" w:hAnsi="Times New Roman" w:cs="Times New Roman"/>
        </w:rPr>
        <w:t>1.</w:t>
      </w:r>
      <w:r>
        <w:rPr>
          <w:rFonts w:ascii="Times New Roman" w:hAnsi="Times New Roman" w:cs="Times New Roman"/>
        </w:rPr>
        <w:tab/>
        <w:t>Trata-se</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processo</w:t>
      </w:r>
      <w:r>
        <w:rPr>
          <w:rFonts w:ascii="Times New Roman" w:eastAsia="Times New Roman" w:hAnsi="Times New Roman" w:cs="Times New Roman"/>
        </w:rPr>
        <w:t xml:space="preserve"> </w:t>
      </w:r>
      <w:r>
        <w:rPr>
          <w:rFonts w:ascii="Times New Roman" w:hAnsi="Times New Roman" w:cs="Times New Roman"/>
        </w:rPr>
        <w:t>administrativo</w:t>
      </w:r>
      <w:r>
        <w:rPr>
          <w:rFonts w:ascii="Times New Roman" w:eastAsia="Times New Roman" w:hAnsi="Times New Roman" w:cs="Times New Roman"/>
        </w:rPr>
        <w:t xml:space="preserve"> </w:t>
      </w:r>
      <w:r>
        <w:rPr>
          <w:rFonts w:ascii="Times New Roman" w:hAnsi="Times New Roman" w:cs="Times New Roman"/>
        </w:rPr>
        <w:t>encaminhado</w:t>
      </w:r>
      <w:r>
        <w:rPr>
          <w:rFonts w:ascii="Times New Roman" w:eastAsia="Times New Roman" w:hAnsi="Times New Roman" w:cs="Times New Roman"/>
        </w:rPr>
        <w:t xml:space="preserve"> </w:t>
      </w:r>
      <w:r>
        <w:rPr>
          <w:rFonts w:ascii="Times New Roman" w:hAnsi="Times New Roman" w:cs="Times New Roman"/>
        </w:rPr>
        <w:t>a</w:t>
      </w:r>
      <w:r>
        <w:rPr>
          <w:rFonts w:ascii="Times New Roman" w:eastAsia="Times New Roman" w:hAnsi="Times New Roman" w:cs="Times New Roman"/>
        </w:rPr>
        <w:t xml:space="preserve"> </w:t>
      </w:r>
      <w:r>
        <w:rPr>
          <w:rFonts w:ascii="Times New Roman" w:hAnsi="Times New Roman" w:cs="Times New Roman"/>
        </w:rPr>
        <w:t>este</w:t>
      </w:r>
      <w:r>
        <w:rPr>
          <w:rFonts w:ascii="Times New Roman" w:eastAsia="Times New Roman" w:hAnsi="Times New Roman" w:cs="Times New Roman"/>
        </w:rPr>
        <w:t xml:space="preserve"> </w:t>
      </w:r>
      <w:r>
        <w:rPr>
          <w:rFonts w:ascii="Times New Roman" w:hAnsi="Times New Roman" w:cs="Times New Roman"/>
        </w:rPr>
        <w:t>órgão</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execução</w:t>
      </w:r>
      <w:r>
        <w:rPr>
          <w:rFonts w:ascii="Times New Roman" w:eastAsia="Times New Roman" w:hAnsi="Times New Roman" w:cs="Times New Roman"/>
        </w:rPr>
        <w:t xml:space="preserve"> </w:t>
      </w:r>
      <w:r>
        <w:rPr>
          <w:rFonts w:ascii="Times New Roman" w:hAnsi="Times New Roman" w:cs="Times New Roman"/>
        </w:rPr>
        <w:t>da</w:t>
      </w:r>
      <w:r>
        <w:rPr>
          <w:rFonts w:ascii="Times New Roman" w:eastAsia="Times New Roman" w:hAnsi="Times New Roman" w:cs="Times New Roman"/>
        </w:rPr>
        <w:t xml:space="preserve"> </w:t>
      </w:r>
      <w:r>
        <w:rPr>
          <w:rFonts w:ascii="Times New Roman" w:hAnsi="Times New Roman" w:cs="Times New Roman"/>
        </w:rPr>
        <w:t>Procuradoria</w:t>
      </w:r>
      <w:r w:rsidR="00A20F16">
        <w:rPr>
          <w:rFonts w:ascii="Times New Roman" w:hAnsi="Times New Roman" w:cs="Times New Roman"/>
        </w:rPr>
        <w:t>-</w:t>
      </w:r>
      <w:r>
        <w:rPr>
          <w:rFonts w:ascii="Times New Roman" w:hAnsi="Times New Roman" w:cs="Times New Roman"/>
        </w:rPr>
        <w:t>Geral</w:t>
      </w:r>
      <w:r>
        <w:rPr>
          <w:rFonts w:ascii="Times New Roman" w:eastAsia="Times New Roman" w:hAnsi="Times New Roman" w:cs="Times New Roman"/>
        </w:rPr>
        <w:t xml:space="preserve"> </w:t>
      </w:r>
      <w:r>
        <w:rPr>
          <w:rFonts w:ascii="Times New Roman" w:hAnsi="Times New Roman" w:cs="Times New Roman"/>
        </w:rPr>
        <w:t>Federal</w:t>
      </w:r>
      <w:r>
        <w:rPr>
          <w:rFonts w:ascii="Times New Roman" w:eastAsia="Times New Roman" w:hAnsi="Times New Roman" w:cs="Times New Roman"/>
        </w:rPr>
        <w:t xml:space="preserve"> </w:t>
      </w:r>
      <w:r>
        <w:rPr>
          <w:rFonts w:ascii="Times New Roman" w:hAnsi="Times New Roman" w:cs="Times New Roman"/>
        </w:rPr>
        <w:t>por</w:t>
      </w:r>
      <w:r>
        <w:rPr>
          <w:rFonts w:ascii="Times New Roman" w:eastAsia="Times New Roman" w:hAnsi="Times New Roman" w:cs="Times New Roman"/>
        </w:rPr>
        <w:t xml:space="preserve"> </w:t>
      </w:r>
      <w:r>
        <w:rPr>
          <w:rFonts w:ascii="Times New Roman" w:hAnsi="Times New Roman" w:cs="Times New Roman"/>
        </w:rPr>
        <w:t>força</w:t>
      </w:r>
      <w:r>
        <w:rPr>
          <w:rFonts w:ascii="Times New Roman" w:eastAsia="Times New Roman" w:hAnsi="Times New Roman" w:cs="Times New Roman"/>
        </w:rPr>
        <w:t xml:space="preserve"> </w:t>
      </w:r>
      <w:r>
        <w:rPr>
          <w:rFonts w:ascii="Times New Roman" w:hAnsi="Times New Roman" w:cs="Times New Roman"/>
        </w:rPr>
        <w:t>do</w:t>
      </w:r>
      <w:r>
        <w:rPr>
          <w:rFonts w:ascii="Times New Roman" w:eastAsia="Times New Roman" w:hAnsi="Times New Roman" w:cs="Times New Roman"/>
        </w:rPr>
        <w:t xml:space="preserve"> </w:t>
      </w:r>
      <w:r>
        <w:rPr>
          <w:rFonts w:ascii="Times New Roman" w:hAnsi="Times New Roman" w:cs="Times New Roman"/>
        </w:rPr>
        <w:t>artigo</w:t>
      </w:r>
      <w:r>
        <w:rPr>
          <w:rFonts w:ascii="Times New Roman" w:eastAsia="Times New Roman" w:hAnsi="Times New Roman" w:cs="Times New Roman"/>
        </w:rPr>
        <w:t xml:space="preserve"> </w:t>
      </w:r>
      <w:r>
        <w:rPr>
          <w:rFonts w:ascii="Times New Roman" w:hAnsi="Times New Roman" w:cs="Times New Roman"/>
        </w:rPr>
        <w:t>38,</w:t>
      </w:r>
      <w:r>
        <w:rPr>
          <w:rFonts w:ascii="Times New Roman" w:eastAsia="Times New Roman" w:hAnsi="Times New Roman" w:cs="Times New Roman"/>
        </w:rPr>
        <w:t xml:space="preserve"> </w:t>
      </w:r>
      <w:r>
        <w:rPr>
          <w:rFonts w:ascii="Times New Roman" w:hAnsi="Times New Roman" w:cs="Times New Roman"/>
        </w:rPr>
        <w:t>parágrafo</w:t>
      </w:r>
      <w:r>
        <w:rPr>
          <w:rFonts w:ascii="Times New Roman" w:eastAsia="Times New Roman" w:hAnsi="Times New Roman" w:cs="Times New Roman"/>
        </w:rPr>
        <w:t xml:space="preserve"> </w:t>
      </w:r>
      <w:r>
        <w:rPr>
          <w:rFonts w:ascii="Times New Roman" w:hAnsi="Times New Roman" w:cs="Times New Roman"/>
        </w:rPr>
        <w:t>único,</w:t>
      </w:r>
      <w:r>
        <w:rPr>
          <w:rFonts w:ascii="Times New Roman" w:eastAsia="Times New Roman" w:hAnsi="Times New Roman" w:cs="Times New Roman"/>
        </w:rPr>
        <w:t xml:space="preserve"> </w:t>
      </w:r>
      <w:r>
        <w:rPr>
          <w:rFonts w:ascii="Times New Roman" w:hAnsi="Times New Roman" w:cs="Times New Roman"/>
        </w:rPr>
        <w:t>da</w:t>
      </w:r>
      <w:r>
        <w:rPr>
          <w:rFonts w:ascii="Times New Roman" w:eastAsia="Times New Roman" w:hAnsi="Times New Roman" w:cs="Times New Roman"/>
        </w:rPr>
        <w:t xml:space="preserve"> </w:t>
      </w:r>
      <w:r>
        <w:rPr>
          <w:rFonts w:ascii="Times New Roman" w:hAnsi="Times New Roman" w:cs="Times New Roman"/>
        </w:rPr>
        <w:t>Lei</w:t>
      </w:r>
      <w:r>
        <w:rPr>
          <w:rFonts w:ascii="Times New Roman" w:eastAsia="Times New Roman" w:hAnsi="Times New Roman" w:cs="Times New Roman"/>
        </w:rPr>
        <w:t xml:space="preserve"> </w:t>
      </w:r>
      <w:r>
        <w:rPr>
          <w:rFonts w:ascii="Times New Roman" w:hAnsi="Times New Roman" w:cs="Times New Roman"/>
        </w:rPr>
        <w:t>n.</w:t>
      </w:r>
      <w:r>
        <w:rPr>
          <w:rFonts w:ascii="Times New Roman" w:eastAsia="Times New Roman" w:hAnsi="Times New Roman" w:cs="Times New Roman"/>
        </w:rPr>
        <w:t xml:space="preserve"> </w:t>
      </w:r>
      <w:r>
        <w:rPr>
          <w:rFonts w:ascii="Times New Roman" w:hAnsi="Times New Roman" w:cs="Times New Roman"/>
        </w:rPr>
        <w:t>8.666/93</w:t>
      </w:r>
      <w:r>
        <w:rPr>
          <w:rFonts w:ascii="Times New Roman" w:eastAsia="Times New Roman" w:hAnsi="Times New Roman" w:cs="Times New Roman"/>
        </w:rPr>
        <w:t xml:space="preserve"> </w:t>
      </w:r>
      <w:r>
        <w:rPr>
          <w:rFonts w:ascii="Times New Roman" w:hAnsi="Times New Roman" w:cs="Times New Roman"/>
        </w:rPr>
        <w:t>para</w:t>
      </w:r>
      <w:r>
        <w:rPr>
          <w:rFonts w:ascii="Times New Roman" w:eastAsia="Times New Roman" w:hAnsi="Times New Roman" w:cs="Times New Roman"/>
        </w:rPr>
        <w:t xml:space="preserve"> </w:t>
      </w:r>
      <w:r>
        <w:rPr>
          <w:rFonts w:ascii="Times New Roman" w:hAnsi="Times New Roman" w:cs="Times New Roman"/>
        </w:rPr>
        <w:t>análise</w:t>
      </w:r>
      <w:r>
        <w:rPr>
          <w:rFonts w:ascii="Times New Roman" w:eastAsia="Times New Roman" w:hAnsi="Times New Roman" w:cs="Times New Roman"/>
        </w:rPr>
        <w:t xml:space="preserve"> </w:t>
      </w:r>
      <w:r>
        <w:rPr>
          <w:rFonts w:ascii="Times New Roman" w:hAnsi="Times New Roman" w:cs="Times New Roman"/>
        </w:rPr>
        <w:t>e</w:t>
      </w:r>
      <w:r>
        <w:rPr>
          <w:rFonts w:ascii="Times New Roman" w:eastAsia="Times New Roman" w:hAnsi="Times New Roman" w:cs="Times New Roman"/>
        </w:rPr>
        <w:t xml:space="preserve"> </w:t>
      </w:r>
      <w:r>
        <w:rPr>
          <w:rFonts w:ascii="Times New Roman" w:hAnsi="Times New Roman" w:cs="Times New Roman"/>
        </w:rPr>
        <w:t>emissão</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parecer</w:t>
      </w:r>
      <w:r>
        <w:rPr>
          <w:rFonts w:ascii="Times New Roman" w:eastAsia="Times New Roman" w:hAnsi="Times New Roman" w:cs="Times New Roman"/>
        </w:rPr>
        <w:t xml:space="preserve"> </w:t>
      </w:r>
      <w:r>
        <w:rPr>
          <w:rFonts w:ascii="Times New Roman" w:hAnsi="Times New Roman" w:cs="Times New Roman"/>
        </w:rPr>
        <w:t>jurídico</w:t>
      </w:r>
      <w:r>
        <w:rPr>
          <w:rFonts w:ascii="Times New Roman" w:eastAsia="Times New Roman" w:hAnsi="Times New Roman" w:cs="Times New Roman"/>
        </w:rPr>
        <w:t xml:space="preserve"> </w:t>
      </w:r>
      <w:r>
        <w:rPr>
          <w:rFonts w:ascii="Times New Roman" w:hAnsi="Times New Roman" w:cs="Times New Roman"/>
        </w:rPr>
        <w:t>acerca</w:t>
      </w:r>
      <w:r>
        <w:rPr>
          <w:rFonts w:ascii="Times New Roman" w:eastAsia="Times New Roman" w:hAnsi="Times New Roman" w:cs="Times New Roman"/>
        </w:rPr>
        <w:t xml:space="preserve"> </w:t>
      </w:r>
      <w:r>
        <w:rPr>
          <w:rFonts w:ascii="Times New Roman" w:hAnsi="Times New Roman" w:cs="Times New Roman"/>
        </w:rPr>
        <w:t>da</w:t>
      </w:r>
      <w:r>
        <w:rPr>
          <w:rFonts w:ascii="Times New Roman" w:eastAsia="Times New Roman" w:hAnsi="Times New Roman" w:cs="Times New Roman"/>
        </w:rPr>
        <w:t xml:space="preserve"> </w:t>
      </w:r>
      <w:r>
        <w:rPr>
          <w:rFonts w:ascii="Times New Roman" w:hAnsi="Times New Roman" w:cs="Times New Roman"/>
        </w:rPr>
        <w:t>contratação</w:t>
      </w:r>
      <w:r>
        <w:rPr>
          <w:rFonts w:ascii="Times New Roman" w:eastAsia="Times New Roman" w:hAnsi="Times New Roman" w:cs="Times New Roman"/>
        </w:rPr>
        <w:t xml:space="preserve"> </w:t>
      </w:r>
      <w:r>
        <w:rPr>
          <w:rFonts w:ascii="Times New Roman" w:hAnsi="Times New Roman" w:cs="Times New Roman"/>
        </w:rPr>
        <w:t>direta,</w:t>
      </w:r>
      <w:r>
        <w:rPr>
          <w:rFonts w:ascii="Times New Roman" w:eastAsia="Times New Roman" w:hAnsi="Times New Roman" w:cs="Times New Roman"/>
        </w:rPr>
        <w:t xml:space="preserve"> </w:t>
      </w:r>
      <w:r>
        <w:rPr>
          <w:rFonts w:ascii="Times New Roman" w:hAnsi="Times New Roman" w:cs="Times New Roman"/>
        </w:rPr>
        <w:t>por</w:t>
      </w:r>
      <w:r>
        <w:rPr>
          <w:rFonts w:ascii="Times New Roman" w:eastAsia="Times New Roman" w:hAnsi="Times New Roman" w:cs="Times New Roman"/>
        </w:rPr>
        <w:t xml:space="preserve"> </w:t>
      </w:r>
      <w:r>
        <w:rPr>
          <w:rFonts w:ascii="Times New Roman" w:hAnsi="Times New Roman" w:cs="Times New Roman"/>
        </w:rPr>
        <w:t>meio</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inexigibilidade</w:t>
      </w:r>
      <w:r>
        <w:rPr>
          <w:rFonts w:ascii="Times New Roman" w:eastAsia="Times New Roman" w:hAnsi="Times New Roman" w:cs="Times New Roman"/>
        </w:rPr>
        <w:t xml:space="preserve"> </w:t>
      </w:r>
      <w:r>
        <w:rPr>
          <w:rFonts w:ascii="Times New Roman" w:hAnsi="Times New Roman" w:cs="Times New Roman"/>
        </w:rPr>
        <w:t>de</w:t>
      </w:r>
      <w:r>
        <w:rPr>
          <w:rFonts w:ascii="Times New Roman" w:eastAsia="Times New Roman" w:hAnsi="Times New Roman" w:cs="Times New Roman"/>
        </w:rPr>
        <w:t xml:space="preserve"> </w:t>
      </w:r>
      <w:r>
        <w:rPr>
          <w:rFonts w:ascii="Times New Roman" w:hAnsi="Times New Roman" w:cs="Times New Roman"/>
        </w:rPr>
        <w:t>licitação,</w:t>
      </w:r>
      <w:r>
        <w:rPr>
          <w:rFonts w:ascii="Times New Roman" w:eastAsia="Times New Roman" w:hAnsi="Times New Roman" w:cs="Times New Roman"/>
        </w:rPr>
        <w:t xml:space="preserve"> </w:t>
      </w:r>
      <w:r>
        <w:rPr>
          <w:rFonts w:ascii="Times New Roman" w:hAnsi="Times New Roman" w:cs="Times New Roman"/>
        </w:rPr>
        <w:t>do serviço descrito no</w:t>
      </w:r>
      <w:r w:rsidR="008D5489">
        <w:rPr>
          <w:rFonts w:ascii="Times New Roman" w:hAnsi="Times New Roman" w:cs="Times New Roman"/>
        </w:rPr>
        <w:t>s</w:t>
      </w:r>
      <w:r>
        <w:rPr>
          <w:rFonts w:ascii="Times New Roman" w:hAnsi="Times New Roman" w:cs="Times New Roman"/>
        </w:rPr>
        <w:t xml:space="preserve"> </w:t>
      </w:r>
      <w:r w:rsidR="00FD481D" w:rsidRPr="00F24B15">
        <w:rPr>
          <w:rFonts w:ascii="Times New Roman" w:hAnsi="Times New Roman" w:cs="Times New Roman"/>
        </w:rPr>
        <w:t>documento</w:t>
      </w:r>
      <w:r w:rsidR="008D5489">
        <w:rPr>
          <w:rFonts w:ascii="Times New Roman" w:hAnsi="Times New Roman" w:cs="Times New Roman"/>
        </w:rPr>
        <w:t>s</w:t>
      </w:r>
      <w:r w:rsidR="00FD481D" w:rsidRPr="00F24B15">
        <w:rPr>
          <w:rFonts w:ascii="Times New Roman" w:hAnsi="Times New Roman" w:cs="Times New Roman"/>
        </w:rPr>
        <w:t xml:space="preserve"> de fl</w:t>
      </w:r>
      <w:r w:rsidR="008D5489">
        <w:rPr>
          <w:rFonts w:ascii="Times New Roman" w:hAnsi="Times New Roman" w:cs="Times New Roman"/>
        </w:rPr>
        <w:t>s</w:t>
      </w:r>
      <w:r w:rsidR="00FD481D" w:rsidRPr="00F24B15">
        <w:rPr>
          <w:rFonts w:ascii="Times New Roman" w:hAnsi="Times New Roman" w:cs="Times New Roman"/>
        </w:rPr>
        <w:t xml:space="preserve">. </w:t>
      </w:r>
      <w:r w:rsidR="00E7651C">
        <w:rPr>
          <w:rFonts w:ascii="Times New Roman" w:hAnsi="Times New Roman" w:cs="Times New Roman"/>
        </w:rPr>
        <w:t>11/13</w:t>
      </w:r>
      <w:r w:rsidR="00FD481D" w:rsidRPr="00F24B15">
        <w:rPr>
          <w:rFonts w:ascii="Times New Roman" w:hAnsi="Times New Roman" w:cs="Times New Roman"/>
        </w:rPr>
        <w:t xml:space="preserve">, qual seja, </w:t>
      </w:r>
      <w:r w:rsidR="00D0149F">
        <w:rPr>
          <w:rFonts w:ascii="Times New Roman" w:hAnsi="Times New Roman" w:cs="Times New Roman"/>
        </w:rPr>
        <w:t>participação do</w:t>
      </w:r>
      <w:r w:rsidR="008D5489">
        <w:rPr>
          <w:rFonts w:ascii="Times New Roman" w:hAnsi="Times New Roman" w:cs="Times New Roman"/>
        </w:rPr>
        <w:t>s</w:t>
      </w:r>
      <w:r w:rsidR="00D0149F">
        <w:rPr>
          <w:rFonts w:ascii="Times New Roman" w:hAnsi="Times New Roman" w:cs="Times New Roman"/>
        </w:rPr>
        <w:t xml:space="preserve"> servidor</w:t>
      </w:r>
      <w:r w:rsidR="00E7651C">
        <w:rPr>
          <w:rFonts w:ascii="Times New Roman" w:hAnsi="Times New Roman" w:cs="Times New Roman"/>
        </w:rPr>
        <w:t xml:space="preserve">es: Francisco Manoel Xavier, Marcelo Fernandes Vieira de Abreu, </w:t>
      </w:r>
      <w:proofErr w:type="spellStart"/>
      <w:r w:rsidR="00E7651C">
        <w:rPr>
          <w:rFonts w:ascii="Times New Roman" w:hAnsi="Times New Roman" w:cs="Times New Roman"/>
        </w:rPr>
        <w:t>Tatiane</w:t>
      </w:r>
      <w:proofErr w:type="spellEnd"/>
      <w:r w:rsidR="00E7651C">
        <w:rPr>
          <w:rFonts w:ascii="Times New Roman" w:hAnsi="Times New Roman" w:cs="Times New Roman"/>
        </w:rPr>
        <w:t xml:space="preserve"> </w:t>
      </w:r>
      <w:proofErr w:type="spellStart"/>
      <w:r w:rsidR="00E7651C">
        <w:rPr>
          <w:rFonts w:ascii="Times New Roman" w:hAnsi="Times New Roman" w:cs="Times New Roman"/>
        </w:rPr>
        <w:t>Grasielle</w:t>
      </w:r>
      <w:proofErr w:type="spellEnd"/>
      <w:r w:rsidR="00E7651C">
        <w:rPr>
          <w:rFonts w:ascii="Times New Roman" w:hAnsi="Times New Roman" w:cs="Times New Roman"/>
        </w:rPr>
        <w:t xml:space="preserve"> Lopes da Silva</w:t>
      </w:r>
      <w:r w:rsidR="008D5489">
        <w:rPr>
          <w:rFonts w:ascii="Times New Roman" w:hAnsi="Times New Roman" w:cs="Times New Roman"/>
        </w:rPr>
        <w:t xml:space="preserve">, </w:t>
      </w:r>
      <w:proofErr w:type="spellStart"/>
      <w:r w:rsidR="00E7651C">
        <w:rPr>
          <w:rFonts w:ascii="Times New Roman" w:hAnsi="Times New Roman" w:cs="Times New Roman"/>
        </w:rPr>
        <w:t>Clébson</w:t>
      </w:r>
      <w:proofErr w:type="spellEnd"/>
      <w:r w:rsidR="00E7651C">
        <w:rPr>
          <w:rFonts w:ascii="Times New Roman" w:hAnsi="Times New Roman" w:cs="Times New Roman"/>
        </w:rPr>
        <w:t xml:space="preserve"> José dos Santos, Jarbas Lopes </w:t>
      </w:r>
      <w:proofErr w:type="spellStart"/>
      <w:r w:rsidR="00E7651C">
        <w:rPr>
          <w:rFonts w:ascii="Times New Roman" w:hAnsi="Times New Roman" w:cs="Times New Roman"/>
        </w:rPr>
        <w:t>Ibrain</w:t>
      </w:r>
      <w:proofErr w:type="spellEnd"/>
      <w:r w:rsidR="00E7651C">
        <w:rPr>
          <w:rFonts w:ascii="Times New Roman" w:hAnsi="Times New Roman" w:cs="Times New Roman"/>
        </w:rPr>
        <w:t xml:space="preserve"> Junior, André Rodrigues de Araújo, </w:t>
      </w:r>
      <w:proofErr w:type="spellStart"/>
      <w:r w:rsidR="00E7651C">
        <w:rPr>
          <w:rFonts w:ascii="Times New Roman" w:hAnsi="Times New Roman" w:cs="Times New Roman"/>
        </w:rPr>
        <w:t>Deyvid</w:t>
      </w:r>
      <w:proofErr w:type="spellEnd"/>
      <w:r w:rsidR="00E7651C">
        <w:rPr>
          <w:rFonts w:ascii="Times New Roman" w:hAnsi="Times New Roman" w:cs="Times New Roman"/>
        </w:rPr>
        <w:t xml:space="preserve"> </w:t>
      </w:r>
      <w:proofErr w:type="spellStart"/>
      <w:r w:rsidR="00E7651C">
        <w:rPr>
          <w:rFonts w:ascii="Times New Roman" w:hAnsi="Times New Roman" w:cs="Times New Roman"/>
        </w:rPr>
        <w:t>Wilkerson</w:t>
      </w:r>
      <w:proofErr w:type="spellEnd"/>
      <w:r w:rsidR="00E7651C">
        <w:rPr>
          <w:rFonts w:ascii="Times New Roman" w:hAnsi="Times New Roman" w:cs="Times New Roman"/>
        </w:rPr>
        <w:t xml:space="preserve"> de Souza Nogueira e Wellington Santos Nunes</w:t>
      </w:r>
      <w:r w:rsidR="00F24B15" w:rsidRPr="00F24B15">
        <w:rPr>
          <w:rFonts w:ascii="Times New Roman" w:hAnsi="Times New Roman" w:cs="Times New Roman"/>
        </w:rPr>
        <w:t xml:space="preserve"> no </w:t>
      </w:r>
      <w:r w:rsidR="00D57D53">
        <w:rPr>
          <w:rFonts w:ascii="Times New Roman" w:hAnsi="Times New Roman" w:cs="Times New Roman"/>
        </w:rPr>
        <w:t xml:space="preserve">evento </w:t>
      </w:r>
      <w:r w:rsidR="00F24B15" w:rsidRPr="00F24B15">
        <w:rPr>
          <w:rFonts w:ascii="Times New Roman" w:hAnsi="Times New Roman" w:cs="Times New Roman"/>
        </w:rPr>
        <w:t>intitulado “</w:t>
      </w:r>
      <w:r w:rsidR="00E7651C">
        <w:rPr>
          <w:rFonts w:ascii="Times New Roman" w:hAnsi="Times New Roman" w:cs="Times New Roman"/>
        </w:rPr>
        <w:t>Retenção na Fonte de Tributos e Contribuições Sociais (IRPF/PIS/COFINS/CSLL/INSS/ISS), com Destaque para a Nova EFD-REINF</w:t>
      </w:r>
      <w:r w:rsidR="00F24B15" w:rsidRPr="00F24B15">
        <w:rPr>
          <w:rFonts w:ascii="Times New Roman" w:hAnsi="Times New Roman" w:cs="Times New Roman"/>
        </w:rPr>
        <w:t xml:space="preserve">”, a ser realizado nos dias </w:t>
      </w:r>
      <w:r w:rsidR="00E7651C">
        <w:rPr>
          <w:rFonts w:ascii="Times New Roman" w:hAnsi="Times New Roman" w:cs="Times New Roman"/>
        </w:rPr>
        <w:t>16</w:t>
      </w:r>
      <w:r w:rsidR="00F26F03">
        <w:rPr>
          <w:rFonts w:ascii="Times New Roman" w:hAnsi="Times New Roman" w:cs="Times New Roman"/>
        </w:rPr>
        <w:t xml:space="preserve"> a </w:t>
      </w:r>
      <w:r w:rsidR="00E7651C">
        <w:rPr>
          <w:rFonts w:ascii="Times New Roman" w:hAnsi="Times New Roman" w:cs="Times New Roman"/>
        </w:rPr>
        <w:t>18</w:t>
      </w:r>
      <w:r w:rsidR="00F24B15" w:rsidRPr="00F24B15">
        <w:rPr>
          <w:rFonts w:ascii="Times New Roman" w:hAnsi="Times New Roman" w:cs="Times New Roman"/>
        </w:rPr>
        <w:t xml:space="preserve"> de </w:t>
      </w:r>
      <w:r w:rsidR="00E7651C">
        <w:rPr>
          <w:rFonts w:ascii="Times New Roman" w:hAnsi="Times New Roman" w:cs="Times New Roman"/>
        </w:rPr>
        <w:t>agosto</w:t>
      </w:r>
      <w:r w:rsidR="00F24B15" w:rsidRPr="00F24B15">
        <w:rPr>
          <w:rFonts w:ascii="Times New Roman" w:hAnsi="Times New Roman" w:cs="Times New Roman"/>
        </w:rPr>
        <w:t xml:space="preserve"> de 2017, na cidade d</w:t>
      </w:r>
      <w:r w:rsidR="00E7651C">
        <w:rPr>
          <w:rFonts w:ascii="Times New Roman" w:hAnsi="Times New Roman" w:cs="Times New Roman"/>
        </w:rPr>
        <w:t>o</w:t>
      </w:r>
      <w:r w:rsidR="00F24B15" w:rsidRPr="00F24B15">
        <w:rPr>
          <w:rFonts w:ascii="Times New Roman" w:hAnsi="Times New Roman" w:cs="Times New Roman"/>
        </w:rPr>
        <w:t xml:space="preserve"> </w:t>
      </w:r>
      <w:r w:rsidR="00E7651C">
        <w:rPr>
          <w:rFonts w:ascii="Times New Roman" w:hAnsi="Times New Roman" w:cs="Times New Roman"/>
        </w:rPr>
        <w:t xml:space="preserve">Rio de </w:t>
      </w:r>
      <w:proofErr w:type="spellStart"/>
      <w:r w:rsidR="00E7651C">
        <w:rPr>
          <w:rFonts w:ascii="Times New Roman" w:hAnsi="Times New Roman" w:cs="Times New Roman"/>
        </w:rPr>
        <w:t>Janeiro</w:t>
      </w:r>
      <w:r w:rsidR="00D0149F">
        <w:rPr>
          <w:rFonts w:ascii="Times New Roman" w:hAnsi="Times New Roman" w:cs="Times New Roman"/>
        </w:rPr>
        <w:t>-</w:t>
      </w:r>
      <w:r w:rsidR="00E7651C">
        <w:rPr>
          <w:rFonts w:ascii="Times New Roman" w:hAnsi="Times New Roman" w:cs="Times New Roman"/>
        </w:rPr>
        <w:t>RJ</w:t>
      </w:r>
      <w:proofErr w:type="spellEnd"/>
      <w:r w:rsidR="00EC4830">
        <w:rPr>
          <w:rFonts w:ascii="Times New Roman" w:hAnsi="Times New Roman" w:cs="Times New Roman"/>
          <w:lang w:eastAsia="pt-BR"/>
        </w:rPr>
        <w:t>.</w:t>
      </w:r>
    </w:p>
    <w:p w:rsidR="00DF4F4F" w:rsidRDefault="00DF4F4F">
      <w:pPr>
        <w:pStyle w:val="western"/>
        <w:overflowPunct w:val="0"/>
        <w:spacing w:before="0"/>
        <w:textAlignment w:val="auto"/>
        <w:rPr>
          <w:rFonts w:ascii="Times New Roman" w:hAnsi="Times New Roman" w:cs="Times New Roman"/>
          <w:color w:val="000000"/>
        </w:rPr>
      </w:pPr>
    </w:p>
    <w:p w:rsidR="009654A1" w:rsidRPr="00844172" w:rsidRDefault="007751B6">
      <w:pPr>
        <w:pStyle w:val="western"/>
        <w:overflowPunct w:val="0"/>
        <w:spacing w:before="0"/>
        <w:textAlignment w:val="auto"/>
        <w:rPr>
          <w:rFonts w:ascii="Times New Roman" w:hAnsi="Times New Roman" w:cs="Times New Roman"/>
          <w:b/>
          <w:color w:val="000000"/>
        </w:rPr>
      </w:pPr>
      <w:r w:rsidRPr="00844172">
        <w:rPr>
          <w:rFonts w:ascii="Times New Roman" w:hAnsi="Times New Roman" w:cs="Times New Roman"/>
          <w:b/>
          <w:color w:val="000000"/>
        </w:rPr>
        <w:t>2</w:t>
      </w:r>
      <w:r w:rsidR="00C73FAC" w:rsidRPr="00844172">
        <w:rPr>
          <w:rFonts w:ascii="Times New Roman" w:hAnsi="Times New Roman" w:cs="Times New Roman"/>
          <w:b/>
          <w:color w:val="000000"/>
        </w:rPr>
        <w:t>.</w:t>
      </w:r>
      <w:r w:rsidR="00C73FAC" w:rsidRPr="00844172">
        <w:rPr>
          <w:rFonts w:ascii="Times New Roman" w:hAnsi="Times New Roman" w:cs="Times New Roman"/>
          <w:b/>
          <w:color w:val="000000"/>
        </w:rPr>
        <w:tab/>
      </w:r>
      <w:r w:rsidR="009654A1" w:rsidRPr="00844172">
        <w:rPr>
          <w:rFonts w:ascii="Times New Roman" w:hAnsi="Times New Roman" w:cs="Times New Roman"/>
          <w:b/>
          <w:color w:val="000000"/>
        </w:rPr>
        <w:t>Preliminarmente, cumpre salientar que, a partir do ano de 2017, todos os processos de compras e aquisições, antes de sua formalização, devem ser cadastrados no Sistema de Gestão de Projetos</w:t>
      </w:r>
      <w:r w:rsidR="00AC08A2" w:rsidRPr="00844172">
        <w:rPr>
          <w:rFonts w:ascii="Times New Roman" w:hAnsi="Times New Roman" w:cs="Times New Roman"/>
          <w:b/>
          <w:color w:val="000000"/>
        </w:rPr>
        <w:t xml:space="preserve">, nos termos da Portaria n. 11, de 23/12/2016, sob pena de devolução dos processos, ao setor requisitante, que desatendam este requisito de ordenação processual. </w:t>
      </w:r>
      <w:r w:rsidR="00AC08A2" w:rsidRPr="00844172">
        <w:rPr>
          <w:rFonts w:ascii="Times New Roman" w:hAnsi="Times New Roman" w:cs="Times New Roman"/>
          <w:b/>
          <w:color w:val="000000"/>
        </w:rPr>
        <w:lastRenderedPageBreak/>
        <w:t>No caso dos autos,</w:t>
      </w:r>
      <w:r w:rsidR="00BA2C6E" w:rsidRPr="00844172">
        <w:rPr>
          <w:rFonts w:ascii="Times New Roman" w:hAnsi="Times New Roman" w:cs="Times New Roman"/>
          <w:b/>
          <w:color w:val="000000"/>
        </w:rPr>
        <w:t xml:space="preserve"> </w:t>
      </w:r>
      <w:r w:rsidR="00AC08A2" w:rsidRPr="00844172">
        <w:rPr>
          <w:rFonts w:ascii="Times New Roman" w:hAnsi="Times New Roman" w:cs="Times New Roman"/>
          <w:b/>
          <w:color w:val="000000"/>
        </w:rPr>
        <w:t>apesar de não acostad</w:t>
      </w:r>
      <w:r w:rsidR="00AB10B9" w:rsidRPr="00844172">
        <w:rPr>
          <w:rFonts w:ascii="Times New Roman" w:hAnsi="Times New Roman" w:cs="Times New Roman"/>
          <w:b/>
          <w:color w:val="000000"/>
        </w:rPr>
        <w:t>a</w:t>
      </w:r>
      <w:r w:rsidR="00AC08A2" w:rsidRPr="00844172">
        <w:rPr>
          <w:rFonts w:ascii="Times New Roman" w:hAnsi="Times New Roman" w:cs="Times New Roman"/>
          <w:b/>
          <w:color w:val="000000"/>
        </w:rPr>
        <w:t xml:space="preserve"> </w:t>
      </w:r>
      <w:proofErr w:type="gramStart"/>
      <w:r w:rsidR="00AC08A2" w:rsidRPr="00844172">
        <w:rPr>
          <w:rFonts w:ascii="Times New Roman" w:hAnsi="Times New Roman" w:cs="Times New Roman"/>
          <w:b/>
          <w:color w:val="000000"/>
        </w:rPr>
        <w:t>a</w:t>
      </w:r>
      <w:proofErr w:type="gramEnd"/>
      <w:r w:rsidR="00AC08A2" w:rsidRPr="00844172">
        <w:rPr>
          <w:rFonts w:ascii="Times New Roman" w:hAnsi="Times New Roman" w:cs="Times New Roman"/>
          <w:b/>
          <w:color w:val="000000"/>
        </w:rPr>
        <w:t xml:space="preserve"> comprovação desse cadastro, verifica-se, em anexo, que houve o registro no aludido sistema.</w:t>
      </w:r>
    </w:p>
    <w:p w:rsidR="009654A1" w:rsidRDefault="009654A1">
      <w:pPr>
        <w:pStyle w:val="western"/>
        <w:overflowPunct w:val="0"/>
        <w:spacing w:before="0"/>
        <w:textAlignment w:val="auto"/>
        <w:rPr>
          <w:rFonts w:ascii="Times New Roman" w:hAnsi="Times New Roman" w:cs="Times New Roman"/>
          <w:color w:val="000000"/>
        </w:rPr>
      </w:pPr>
    </w:p>
    <w:p w:rsidR="00DF4F4F" w:rsidRDefault="006730EC">
      <w:pPr>
        <w:pStyle w:val="western"/>
        <w:overflowPunct w:val="0"/>
        <w:spacing w:before="0"/>
        <w:textAlignment w:val="auto"/>
        <w:rPr>
          <w:rFonts w:ascii="Times New Roman" w:hAnsi="Times New Roman" w:cs="Times New Roman"/>
          <w:color w:val="000000"/>
        </w:rPr>
      </w:pPr>
      <w:r>
        <w:rPr>
          <w:rFonts w:ascii="Times New Roman" w:hAnsi="Times New Roman" w:cs="Times New Roman"/>
          <w:color w:val="000000"/>
        </w:rPr>
        <w:t>3</w:t>
      </w:r>
      <w:r w:rsidR="009654A1">
        <w:rPr>
          <w:rFonts w:ascii="Times New Roman" w:hAnsi="Times New Roman" w:cs="Times New Roman"/>
          <w:color w:val="000000"/>
        </w:rPr>
        <w:t>.</w:t>
      </w:r>
      <w:r w:rsidR="009654A1">
        <w:rPr>
          <w:rFonts w:ascii="Times New Roman" w:hAnsi="Times New Roman" w:cs="Times New Roman"/>
          <w:color w:val="000000"/>
        </w:rPr>
        <w:tab/>
      </w:r>
      <w:r>
        <w:rPr>
          <w:rFonts w:ascii="Times New Roman" w:hAnsi="Times New Roman" w:cs="Times New Roman"/>
          <w:color w:val="000000"/>
        </w:rPr>
        <w:t>Em sequência, o</w:t>
      </w:r>
      <w:r w:rsidR="00C73FAC">
        <w:rPr>
          <w:rFonts w:ascii="Times New Roman" w:hAnsi="Times New Roman" w:cs="Times New Roman"/>
          <w:color w:val="000000"/>
        </w:rPr>
        <w:t>bserva-se</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que</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o</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processo</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administrativo</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em</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epígrafe</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está</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instruído, dentre outros,</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com</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os</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seguintes</w:t>
      </w:r>
      <w:r w:rsidR="00C73FAC">
        <w:rPr>
          <w:rFonts w:ascii="Times New Roman" w:eastAsia="Times New Roman" w:hAnsi="Times New Roman" w:cs="Times New Roman"/>
          <w:color w:val="000000"/>
        </w:rPr>
        <w:t xml:space="preserve"> </w:t>
      </w:r>
      <w:r w:rsidR="00C73FAC">
        <w:rPr>
          <w:rFonts w:ascii="Times New Roman" w:hAnsi="Times New Roman" w:cs="Times New Roman"/>
          <w:color w:val="000000"/>
        </w:rPr>
        <w:t>documentos:</w:t>
      </w:r>
    </w:p>
    <w:p w:rsidR="005A1C35" w:rsidRDefault="005A1C35">
      <w:pPr>
        <w:pStyle w:val="western"/>
        <w:overflowPunct w:val="0"/>
        <w:spacing w:before="0"/>
        <w:textAlignment w:val="auto"/>
        <w:rPr>
          <w:rFonts w:ascii="Times New Roman" w:hAnsi="Times New Roman" w:cs="Times New Roman"/>
        </w:rPr>
      </w:pPr>
    </w:p>
    <w:p w:rsidR="00D57D53" w:rsidRPr="006730EC" w:rsidRDefault="00C429AE">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a</w:t>
      </w:r>
      <w:r w:rsidR="0045008E" w:rsidRPr="006730EC">
        <w:rPr>
          <w:rFonts w:ascii="Times New Roman" w:hAnsi="Times New Roman" w:cs="Times New Roman"/>
          <w:color w:val="000000"/>
          <w:sz w:val="22"/>
          <w:szCs w:val="22"/>
          <w:highlight w:val="white"/>
        </w:rPr>
        <w:t xml:space="preserve">) </w:t>
      </w:r>
      <w:r w:rsidR="00D57D53" w:rsidRPr="006730EC">
        <w:rPr>
          <w:rFonts w:ascii="Times New Roman" w:hAnsi="Times New Roman" w:cs="Times New Roman"/>
          <w:color w:val="000000"/>
          <w:sz w:val="22"/>
          <w:szCs w:val="22"/>
          <w:highlight w:val="white"/>
        </w:rPr>
        <w:t xml:space="preserve">Solicitação </w:t>
      </w:r>
      <w:r w:rsidR="008D5489" w:rsidRPr="006730EC">
        <w:rPr>
          <w:rFonts w:ascii="Times New Roman" w:hAnsi="Times New Roman" w:cs="Times New Roman"/>
          <w:color w:val="000000"/>
          <w:sz w:val="22"/>
          <w:szCs w:val="22"/>
          <w:highlight w:val="white"/>
        </w:rPr>
        <w:t>d</w:t>
      </w:r>
      <w:r w:rsidR="005954B4" w:rsidRPr="006730EC">
        <w:rPr>
          <w:rFonts w:ascii="Times New Roman" w:hAnsi="Times New Roman" w:cs="Times New Roman"/>
          <w:color w:val="000000"/>
          <w:sz w:val="22"/>
          <w:szCs w:val="22"/>
          <w:highlight w:val="white"/>
        </w:rPr>
        <w:t>e inclusão d</w:t>
      </w:r>
      <w:r w:rsidR="00B84276" w:rsidRPr="006730EC">
        <w:rPr>
          <w:rFonts w:ascii="Times New Roman" w:hAnsi="Times New Roman" w:cs="Times New Roman"/>
          <w:color w:val="000000"/>
          <w:sz w:val="22"/>
          <w:szCs w:val="22"/>
          <w:highlight w:val="white"/>
        </w:rPr>
        <w:t>os</w:t>
      </w:r>
      <w:r w:rsidR="008D5489" w:rsidRPr="006730EC">
        <w:rPr>
          <w:rFonts w:ascii="Times New Roman" w:hAnsi="Times New Roman" w:cs="Times New Roman"/>
          <w:color w:val="000000"/>
          <w:sz w:val="22"/>
          <w:szCs w:val="22"/>
          <w:highlight w:val="white"/>
        </w:rPr>
        <w:t xml:space="preserve"> servidor</w:t>
      </w:r>
      <w:r w:rsidR="00023410" w:rsidRPr="006730EC">
        <w:rPr>
          <w:rFonts w:ascii="Times New Roman" w:hAnsi="Times New Roman" w:cs="Times New Roman"/>
          <w:color w:val="000000"/>
          <w:sz w:val="22"/>
          <w:szCs w:val="22"/>
          <w:highlight w:val="white"/>
        </w:rPr>
        <w:t>es para participação no evento em tela</w:t>
      </w:r>
      <w:r w:rsidR="005A1C35" w:rsidRPr="006730EC">
        <w:rPr>
          <w:rFonts w:ascii="Times New Roman" w:hAnsi="Times New Roman" w:cs="Times New Roman"/>
          <w:color w:val="000000"/>
          <w:sz w:val="22"/>
          <w:szCs w:val="22"/>
          <w:highlight w:val="white"/>
        </w:rPr>
        <w:t xml:space="preserve"> com as manifestações das chefias imediatas</w:t>
      </w:r>
      <w:r w:rsidR="00023410" w:rsidRPr="006730EC">
        <w:rPr>
          <w:rFonts w:ascii="Times New Roman" w:hAnsi="Times New Roman" w:cs="Times New Roman"/>
          <w:color w:val="000000"/>
          <w:sz w:val="22"/>
          <w:szCs w:val="22"/>
          <w:highlight w:val="white"/>
        </w:rPr>
        <w:t>:</w:t>
      </w:r>
      <w:r w:rsidR="008D5489" w:rsidRPr="006730EC">
        <w:rPr>
          <w:rFonts w:ascii="Times New Roman" w:hAnsi="Times New Roman" w:cs="Times New Roman"/>
          <w:color w:val="000000"/>
          <w:sz w:val="22"/>
          <w:szCs w:val="22"/>
          <w:highlight w:val="white"/>
        </w:rPr>
        <w:t xml:space="preserve"> </w:t>
      </w:r>
      <w:proofErr w:type="spellStart"/>
      <w:r w:rsidR="005954B4" w:rsidRPr="006730EC">
        <w:rPr>
          <w:rFonts w:ascii="Times New Roman" w:hAnsi="Times New Roman" w:cs="Times New Roman"/>
          <w:sz w:val="22"/>
          <w:szCs w:val="22"/>
        </w:rPr>
        <w:t>Tatiane</w:t>
      </w:r>
      <w:proofErr w:type="spellEnd"/>
      <w:r w:rsidR="005954B4" w:rsidRPr="006730EC">
        <w:rPr>
          <w:rFonts w:ascii="Times New Roman" w:hAnsi="Times New Roman" w:cs="Times New Roman"/>
          <w:sz w:val="22"/>
          <w:szCs w:val="22"/>
        </w:rPr>
        <w:t xml:space="preserve"> </w:t>
      </w:r>
      <w:proofErr w:type="spellStart"/>
      <w:r w:rsidR="005954B4" w:rsidRPr="006730EC">
        <w:rPr>
          <w:rFonts w:ascii="Times New Roman" w:hAnsi="Times New Roman" w:cs="Times New Roman"/>
          <w:sz w:val="22"/>
          <w:szCs w:val="22"/>
        </w:rPr>
        <w:t>Grasielle</w:t>
      </w:r>
      <w:proofErr w:type="spellEnd"/>
      <w:r w:rsidR="005954B4" w:rsidRPr="006730EC">
        <w:rPr>
          <w:rFonts w:ascii="Times New Roman" w:hAnsi="Times New Roman" w:cs="Times New Roman"/>
          <w:sz w:val="22"/>
          <w:szCs w:val="22"/>
        </w:rPr>
        <w:t xml:space="preserve"> Lopes</w:t>
      </w:r>
      <w:r w:rsidR="00023410" w:rsidRPr="006730EC">
        <w:rPr>
          <w:rFonts w:ascii="Times New Roman" w:hAnsi="Times New Roman" w:cs="Times New Roman"/>
          <w:color w:val="000000"/>
          <w:sz w:val="22"/>
          <w:szCs w:val="22"/>
          <w:highlight w:val="white"/>
        </w:rPr>
        <w:t xml:space="preserve">, Jarbas Lopes </w:t>
      </w:r>
      <w:proofErr w:type="spellStart"/>
      <w:r w:rsidR="00023410" w:rsidRPr="006730EC">
        <w:rPr>
          <w:rFonts w:ascii="Times New Roman" w:hAnsi="Times New Roman" w:cs="Times New Roman"/>
          <w:color w:val="000000"/>
          <w:sz w:val="22"/>
          <w:szCs w:val="22"/>
          <w:highlight w:val="white"/>
        </w:rPr>
        <w:t>Ibrain</w:t>
      </w:r>
      <w:proofErr w:type="spellEnd"/>
      <w:r w:rsidR="00023410" w:rsidRPr="006730EC">
        <w:rPr>
          <w:rFonts w:ascii="Times New Roman" w:hAnsi="Times New Roman" w:cs="Times New Roman"/>
          <w:color w:val="000000"/>
          <w:sz w:val="22"/>
          <w:szCs w:val="22"/>
          <w:highlight w:val="white"/>
        </w:rPr>
        <w:t xml:space="preserve"> Jr., </w:t>
      </w:r>
      <w:proofErr w:type="spellStart"/>
      <w:r w:rsidR="00023410" w:rsidRPr="006730EC">
        <w:rPr>
          <w:rFonts w:ascii="Times New Roman" w:hAnsi="Times New Roman" w:cs="Times New Roman"/>
          <w:color w:val="000000"/>
          <w:sz w:val="22"/>
          <w:szCs w:val="22"/>
          <w:highlight w:val="white"/>
        </w:rPr>
        <w:t>Clebson</w:t>
      </w:r>
      <w:proofErr w:type="spellEnd"/>
      <w:r w:rsidR="00023410" w:rsidRPr="006730EC">
        <w:rPr>
          <w:rFonts w:ascii="Times New Roman" w:hAnsi="Times New Roman" w:cs="Times New Roman"/>
          <w:color w:val="000000"/>
          <w:sz w:val="22"/>
          <w:szCs w:val="22"/>
          <w:highlight w:val="white"/>
        </w:rPr>
        <w:t xml:space="preserve"> José dos Santos,</w:t>
      </w:r>
      <w:r w:rsidR="00D57D53" w:rsidRPr="006730EC">
        <w:rPr>
          <w:rFonts w:ascii="Times New Roman" w:hAnsi="Times New Roman" w:cs="Times New Roman"/>
          <w:color w:val="000000"/>
          <w:sz w:val="22"/>
          <w:szCs w:val="22"/>
          <w:highlight w:val="white"/>
        </w:rPr>
        <w:t xml:space="preserve"> </w:t>
      </w:r>
      <w:r w:rsidR="00023410" w:rsidRPr="006730EC">
        <w:rPr>
          <w:rFonts w:ascii="Times New Roman" w:hAnsi="Times New Roman" w:cs="Times New Roman"/>
          <w:color w:val="000000"/>
          <w:sz w:val="22"/>
          <w:szCs w:val="22"/>
          <w:highlight w:val="white"/>
        </w:rPr>
        <w:t xml:space="preserve">André Rodrigues de Araújo, </w:t>
      </w:r>
      <w:proofErr w:type="spellStart"/>
      <w:r w:rsidR="00023410" w:rsidRPr="006730EC">
        <w:rPr>
          <w:rFonts w:ascii="Times New Roman" w:hAnsi="Times New Roman" w:cs="Times New Roman"/>
          <w:color w:val="000000"/>
          <w:sz w:val="22"/>
          <w:szCs w:val="22"/>
          <w:highlight w:val="white"/>
        </w:rPr>
        <w:t>Deyvid</w:t>
      </w:r>
      <w:proofErr w:type="spellEnd"/>
      <w:r w:rsidR="00023410" w:rsidRPr="006730EC">
        <w:rPr>
          <w:rFonts w:ascii="Times New Roman" w:hAnsi="Times New Roman" w:cs="Times New Roman"/>
          <w:color w:val="000000"/>
          <w:sz w:val="22"/>
          <w:szCs w:val="22"/>
          <w:highlight w:val="white"/>
        </w:rPr>
        <w:t xml:space="preserve"> </w:t>
      </w:r>
      <w:proofErr w:type="spellStart"/>
      <w:r w:rsidR="00023410" w:rsidRPr="006730EC">
        <w:rPr>
          <w:rFonts w:ascii="Times New Roman" w:hAnsi="Times New Roman" w:cs="Times New Roman"/>
          <w:color w:val="000000"/>
          <w:sz w:val="22"/>
          <w:szCs w:val="22"/>
          <w:highlight w:val="white"/>
        </w:rPr>
        <w:t>Wilkerson</w:t>
      </w:r>
      <w:proofErr w:type="spellEnd"/>
      <w:r w:rsidR="00023410" w:rsidRPr="006730EC">
        <w:rPr>
          <w:rFonts w:ascii="Times New Roman" w:hAnsi="Times New Roman" w:cs="Times New Roman"/>
          <w:color w:val="000000"/>
          <w:sz w:val="22"/>
          <w:szCs w:val="22"/>
          <w:highlight w:val="white"/>
        </w:rPr>
        <w:t xml:space="preserve"> de Souza, </w:t>
      </w:r>
      <w:r w:rsidR="00D005FA" w:rsidRPr="006730EC">
        <w:rPr>
          <w:rFonts w:ascii="Times New Roman" w:hAnsi="Times New Roman" w:cs="Times New Roman"/>
          <w:color w:val="000000"/>
          <w:sz w:val="22"/>
          <w:szCs w:val="22"/>
          <w:highlight w:val="white"/>
        </w:rPr>
        <w:t>Francisco Manoel Xavier, Marcelo Fernandes Vieira Abreu e</w:t>
      </w:r>
      <w:r w:rsidR="005A1C35" w:rsidRPr="006730EC">
        <w:rPr>
          <w:rFonts w:ascii="Times New Roman" w:hAnsi="Times New Roman" w:cs="Times New Roman"/>
          <w:color w:val="000000"/>
          <w:sz w:val="22"/>
          <w:szCs w:val="22"/>
          <w:highlight w:val="white"/>
        </w:rPr>
        <w:t xml:space="preserve"> </w:t>
      </w:r>
      <w:r w:rsidR="002676CD" w:rsidRPr="006730EC">
        <w:rPr>
          <w:rFonts w:ascii="Times New Roman" w:hAnsi="Times New Roman" w:cs="Times New Roman"/>
          <w:color w:val="000000"/>
          <w:sz w:val="22"/>
          <w:szCs w:val="22"/>
          <w:highlight w:val="white"/>
        </w:rPr>
        <w:t xml:space="preserve">Wellington Santos Nunes </w:t>
      </w:r>
      <w:r w:rsidR="009A52AB" w:rsidRPr="006730EC">
        <w:rPr>
          <w:rFonts w:ascii="Times New Roman" w:hAnsi="Times New Roman" w:cs="Times New Roman"/>
          <w:color w:val="000000"/>
          <w:sz w:val="22"/>
          <w:szCs w:val="22"/>
          <w:highlight w:val="white"/>
        </w:rPr>
        <w:t>(</w:t>
      </w:r>
      <w:r w:rsidR="00D57D53" w:rsidRPr="006730EC">
        <w:rPr>
          <w:rFonts w:ascii="Times New Roman" w:hAnsi="Times New Roman" w:cs="Times New Roman"/>
          <w:color w:val="000000"/>
          <w:sz w:val="22"/>
          <w:szCs w:val="22"/>
          <w:highlight w:val="white"/>
        </w:rPr>
        <w:t>fl</w:t>
      </w:r>
      <w:r w:rsidR="002676CD" w:rsidRPr="006730EC">
        <w:rPr>
          <w:rFonts w:ascii="Times New Roman" w:hAnsi="Times New Roman" w:cs="Times New Roman"/>
          <w:color w:val="000000"/>
          <w:sz w:val="22"/>
          <w:szCs w:val="22"/>
          <w:highlight w:val="white"/>
        </w:rPr>
        <w:t>s</w:t>
      </w:r>
      <w:r w:rsidR="00D57D53" w:rsidRPr="006730EC">
        <w:rPr>
          <w:rFonts w:ascii="Times New Roman" w:hAnsi="Times New Roman" w:cs="Times New Roman"/>
          <w:color w:val="000000"/>
          <w:sz w:val="22"/>
          <w:szCs w:val="22"/>
          <w:highlight w:val="white"/>
        </w:rPr>
        <w:t>.</w:t>
      </w:r>
      <w:r w:rsidR="00D57D53" w:rsidRPr="006730EC">
        <w:rPr>
          <w:rFonts w:ascii="Times New Roman" w:eastAsia="Times New Roman" w:hAnsi="Times New Roman" w:cs="Times New Roman"/>
          <w:color w:val="000000"/>
          <w:sz w:val="22"/>
          <w:szCs w:val="22"/>
          <w:highlight w:val="white"/>
        </w:rPr>
        <w:t xml:space="preserve"> </w:t>
      </w:r>
      <w:r w:rsidR="00445C9A" w:rsidRPr="006730EC">
        <w:rPr>
          <w:rFonts w:ascii="Times New Roman" w:eastAsia="Times New Roman" w:hAnsi="Times New Roman" w:cs="Times New Roman"/>
          <w:color w:val="000000"/>
          <w:sz w:val="22"/>
          <w:szCs w:val="22"/>
          <w:highlight w:val="white"/>
        </w:rPr>
        <w:t>01</w:t>
      </w:r>
      <w:r w:rsidR="00023410" w:rsidRPr="006730EC">
        <w:rPr>
          <w:rFonts w:ascii="Times New Roman" w:eastAsia="Times New Roman" w:hAnsi="Times New Roman" w:cs="Times New Roman"/>
          <w:color w:val="000000"/>
          <w:sz w:val="22"/>
          <w:szCs w:val="22"/>
          <w:highlight w:val="white"/>
        </w:rPr>
        <w:t>, 04, 05</w:t>
      </w:r>
      <w:r w:rsidR="00D005FA" w:rsidRPr="006730EC">
        <w:rPr>
          <w:rFonts w:ascii="Times New Roman" w:eastAsia="Times New Roman" w:hAnsi="Times New Roman" w:cs="Times New Roman"/>
          <w:color w:val="000000"/>
          <w:sz w:val="22"/>
          <w:szCs w:val="22"/>
          <w:highlight w:val="white"/>
        </w:rPr>
        <w:t>, 07</w:t>
      </w:r>
      <w:r w:rsidR="002676CD" w:rsidRPr="006730EC">
        <w:rPr>
          <w:rFonts w:ascii="Times New Roman" w:eastAsia="Times New Roman" w:hAnsi="Times New Roman" w:cs="Times New Roman"/>
          <w:color w:val="000000"/>
          <w:sz w:val="22"/>
          <w:szCs w:val="22"/>
          <w:highlight w:val="white"/>
        </w:rPr>
        <w:t xml:space="preserve"> e 10, respectivamente</w:t>
      </w:r>
      <w:r w:rsidR="00D57D53" w:rsidRPr="006730EC">
        <w:rPr>
          <w:rFonts w:ascii="Times New Roman" w:hAnsi="Times New Roman" w:cs="Times New Roman"/>
          <w:color w:val="000000"/>
          <w:sz w:val="22"/>
          <w:szCs w:val="22"/>
          <w:highlight w:val="white"/>
        </w:rPr>
        <w:t>);</w:t>
      </w:r>
    </w:p>
    <w:p w:rsidR="00DF4F4F" w:rsidRPr="006730EC" w:rsidRDefault="00445C9A">
      <w:pPr>
        <w:pStyle w:val="western"/>
        <w:tabs>
          <w:tab w:val="left" w:pos="2835"/>
        </w:tabs>
        <w:overflowPunct w:val="0"/>
        <w:spacing w:before="0"/>
        <w:ind w:left="2268"/>
        <w:textAlignment w:val="auto"/>
        <w:rPr>
          <w:rFonts w:ascii="Times New Roman" w:hAnsi="Times New Roman" w:cs="Times New Roman"/>
          <w:color w:val="000000"/>
          <w:sz w:val="22"/>
          <w:szCs w:val="22"/>
        </w:rPr>
      </w:pPr>
      <w:r w:rsidRPr="006730EC">
        <w:rPr>
          <w:rFonts w:ascii="Times New Roman" w:hAnsi="Times New Roman" w:cs="Times New Roman"/>
          <w:color w:val="000000"/>
          <w:sz w:val="22"/>
          <w:szCs w:val="22"/>
          <w:highlight w:val="white"/>
        </w:rPr>
        <w:t xml:space="preserve">b) </w:t>
      </w:r>
      <w:r w:rsidR="00EC3C59" w:rsidRPr="006730EC">
        <w:rPr>
          <w:rFonts w:ascii="Times New Roman" w:hAnsi="Times New Roman" w:cs="Times New Roman"/>
          <w:color w:val="000000"/>
          <w:sz w:val="22"/>
          <w:szCs w:val="22"/>
        </w:rPr>
        <w:t xml:space="preserve">Programação do curso </w:t>
      </w:r>
      <w:r w:rsidR="00B92E5B" w:rsidRPr="006730EC">
        <w:rPr>
          <w:rFonts w:ascii="Times New Roman" w:hAnsi="Times New Roman" w:cs="Times New Roman"/>
          <w:sz w:val="22"/>
          <w:szCs w:val="22"/>
        </w:rPr>
        <w:t xml:space="preserve">(fl. </w:t>
      </w:r>
      <w:r w:rsidR="00EC3C59" w:rsidRPr="006730EC">
        <w:rPr>
          <w:rFonts w:ascii="Times New Roman" w:hAnsi="Times New Roman" w:cs="Times New Roman"/>
          <w:sz w:val="22"/>
          <w:szCs w:val="22"/>
        </w:rPr>
        <w:t>11/1</w:t>
      </w:r>
      <w:r w:rsidR="00FD290E" w:rsidRPr="006730EC">
        <w:rPr>
          <w:rFonts w:ascii="Times New Roman" w:hAnsi="Times New Roman" w:cs="Times New Roman"/>
          <w:sz w:val="22"/>
          <w:szCs w:val="22"/>
        </w:rPr>
        <w:t>5</w:t>
      </w:r>
      <w:r w:rsidR="00542AF6" w:rsidRPr="006730EC">
        <w:rPr>
          <w:rFonts w:ascii="Times New Roman" w:hAnsi="Times New Roman" w:cs="Times New Roman"/>
          <w:sz w:val="22"/>
          <w:szCs w:val="22"/>
        </w:rPr>
        <w:t>)</w:t>
      </w:r>
      <w:r w:rsidR="00EC3C59" w:rsidRPr="006730EC">
        <w:rPr>
          <w:rFonts w:ascii="Times New Roman" w:hAnsi="Times New Roman" w:cs="Times New Roman"/>
          <w:sz w:val="22"/>
          <w:szCs w:val="22"/>
        </w:rPr>
        <w:t>;</w:t>
      </w:r>
    </w:p>
    <w:p w:rsidR="00BA4DD4" w:rsidRPr="006730EC" w:rsidRDefault="00EC3C59">
      <w:pPr>
        <w:pStyle w:val="western"/>
        <w:tabs>
          <w:tab w:val="left" w:pos="2835"/>
        </w:tabs>
        <w:overflowPunct w:val="0"/>
        <w:spacing w:before="0"/>
        <w:ind w:left="2268"/>
        <w:textAlignment w:val="auto"/>
        <w:rPr>
          <w:rFonts w:ascii="Times New Roman" w:hAnsi="Times New Roman" w:cs="Times New Roman"/>
          <w:color w:val="000000"/>
          <w:sz w:val="22"/>
          <w:szCs w:val="22"/>
        </w:rPr>
      </w:pPr>
      <w:r w:rsidRPr="006730EC">
        <w:rPr>
          <w:rFonts w:ascii="Times New Roman" w:hAnsi="Times New Roman" w:cs="Times New Roman"/>
          <w:color w:val="000000"/>
          <w:sz w:val="22"/>
          <w:szCs w:val="22"/>
        </w:rPr>
        <w:t xml:space="preserve">c) </w:t>
      </w:r>
      <w:r w:rsidR="00BA4DD4" w:rsidRPr="006730EC">
        <w:rPr>
          <w:rFonts w:ascii="Times New Roman" w:hAnsi="Times New Roman" w:cs="Times New Roman"/>
          <w:i/>
          <w:color w:val="000000"/>
          <w:sz w:val="22"/>
          <w:szCs w:val="22"/>
        </w:rPr>
        <w:t xml:space="preserve">Curriculum Vitae </w:t>
      </w:r>
      <w:r w:rsidR="00A56751" w:rsidRPr="006730EC">
        <w:rPr>
          <w:rFonts w:ascii="Times New Roman" w:hAnsi="Times New Roman" w:cs="Times New Roman"/>
          <w:color w:val="000000"/>
          <w:sz w:val="22"/>
          <w:szCs w:val="22"/>
        </w:rPr>
        <w:t xml:space="preserve">do palestrante </w:t>
      </w:r>
      <w:r w:rsidR="00BA4DD4" w:rsidRPr="006730EC">
        <w:rPr>
          <w:rFonts w:ascii="Times New Roman" w:hAnsi="Times New Roman" w:cs="Times New Roman"/>
          <w:color w:val="000000"/>
          <w:sz w:val="22"/>
          <w:szCs w:val="22"/>
        </w:rPr>
        <w:t>(fls. 16/18);</w:t>
      </w:r>
    </w:p>
    <w:p w:rsidR="00A56751" w:rsidRPr="006730EC" w:rsidRDefault="00FD290E">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d</w:t>
      </w:r>
      <w:r w:rsidR="00A56751" w:rsidRPr="006730EC">
        <w:rPr>
          <w:rFonts w:ascii="Times New Roman" w:hAnsi="Times New Roman" w:cs="Times New Roman"/>
          <w:color w:val="000000"/>
          <w:sz w:val="22"/>
          <w:szCs w:val="22"/>
          <w:highlight w:val="white"/>
        </w:rPr>
        <w:t xml:space="preserve">) </w:t>
      </w:r>
      <w:r w:rsidRPr="006730EC">
        <w:rPr>
          <w:rFonts w:ascii="Times New Roman" w:hAnsi="Times New Roman" w:cs="Times New Roman"/>
          <w:color w:val="000000"/>
          <w:sz w:val="22"/>
          <w:szCs w:val="22"/>
          <w:highlight w:val="white"/>
        </w:rPr>
        <w:t>Notas de Empenho (fls. 22/24);</w:t>
      </w:r>
    </w:p>
    <w:p w:rsidR="00FD290E" w:rsidRPr="006730EC" w:rsidRDefault="00FD290E">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e) Autorização para abertura de processo (fl. 25);</w:t>
      </w:r>
    </w:p>
    <w:p w:rsidR="00FD290E" w:rsidRPr="006730EC" w:rsidRDefault="00FD290E">
      <w:pPr>
        <w:pStyle w:val="western"/>
        <w:tabs>
          <w:tab w:val="left" w:pos="2835"/>
        </w:tabs>
        <w:overflowPunct w:val="0"/>
        <w:spacing w:before="0"/>
        <w:ind w:left="2268"/>
        <w:textAlignment w:val="auto"/>
        <w:rPr>
          <w:rFonts w:ascii="Times New Roman" w:hAnsi="Times New Roman" w:cs="Times New Roman"/>
          <w:color w:val="000000"/>
          <w:sz w:val="22"/>
          <w:szCs w:val="22"/>
        </w:rPr>
      </w:pPr>
      <w:r w:rsidRPr="006730EC">
        <w:rPr>
          <w:rFonts w:ascii="Times New Roman" w:hAnsi="Times New Roman" w:cs="Times New Roman"/>
          <w:color w:val="000000"/>
          <w:sz w:val="22"/>
          <w:szCs w:val="22"/>
          <w:highlight w:val="white"/>
        </w:rPr>
        <w:t xml:space="preserve">f) </w:t>
      </w:r>
      <w:r w:rsidRPr="006730EC">
        <w:rPr>
          <w:rFonts w:ascii="Times New Roman" w:hAnsi="Times New Roman" w:cs="Times New Roman"/>
          <w:color w:val="000000"/>
          <w:sz w:val="22"/>
          <w:szCs w:val="22"/>
        </w:rPr>
        <w:t xml:space="preserve">Declaração da existência de crédito orçamentário para o atendimento da despesa em questão </w:t>
      </w:r>
      <w:r w:rsidR="00DF048A" w:rsidRPr="006730EC">
        <w:rPr>
          <w:rFonts w:ascii="Times New Roman" w:hAnsi="Times New Roman" w:cs="Times New Roman"/>
          <w:color w:val="000000"/>
          <w:sz w:val="22"/>
          <w:szCs w:val="22"/>
        </w:rPr>
        <w:t xml:space="preserve">seguido de CONRAZÃO </w:t>
      </w:r>
      <w:r w:rsidRPr="006730EC">
        <w:rPr>
          <w:rFonts w:ascii="Times New Roman" w:hAnsi="Times New Roman" w:cs="Times New Roman"/>
          <w:color w:val="000000"/>
          <w:sz w:val="22"/>
          <w:szCs w:val="22"/>
        </w:rPr>
        <w:t>(fl</w:t>
      </w:r>
      <w:r w:rsidR="00DF048A" w:rsidRPr="006730EC">
        <w:rPr>
          <w:rFonts w:ascii="Times New Roman" w:hAnsi="Times New Roman" w:cs="Times New Roman"/>
          <w:color w:val="000000"/>
          <w:sz w:val="22"/>
          <w:szCs w:val="22"/>
        </w:rPr>
        <w:t>s</w:t>
      </w:r>
      <w:r w:rsidRPr="006730EC">
        <w:rPr>
          <w:rFonts w:ascii="Times New Roman" w:hAnsi="Times New Roman" w:cs="Times New Roman"/>
          <w:color w:val="000000"/>
          <w:sz w:val="22"/>
          <w:szCs w:val="22"/>
        </w:rPr>
        <w:t>. 28</w:t>
      </w:r>
      <w:r w:rsidR="00DF048A" w:rsidRPr="006730EC">
        <w:rPr>
          <w:rFonts w:ascii="Times New Roman" w:hAnsi="Times New Roman" w:cs="Times New Roman"/>
          <w:color w:val="000000"/>
          <w:sz w:val="22"/>
          <w:szCs w:val="22"/>
        </w:rPr>
        <w:t>/29</w:t>
      </w:r>
      <w:r w:rsidRPr="006730EC">
        <w:rPr>
          <w:rFonts w:ascii="Times New Roman" w:hAnsi="Times New Roman" w:cs="Times New Roman"/>
          <w:color w:val="000000"/>
          <w:sz w:val="22"/>
          <w:szCs w:val="22"/>
        </w:rPr>
        <w:t>);</w:t>
      </w:r>
    </w:p>
    <w:p w:rsidR="00FD290E" w:rsidRPr="006730EC" w:rsidRDefault="00FD290E">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rPr>
        <w:t xml:space="preserve">g) </w:t>
      </w:r>
      <w:r w:rsidR="00B27CD0" w:rsidRPr="006730EC">
        <w:rPr>
          <w:rFonts w:ascii="Times New Roman" w:hAnsi="Times New Roman" w:cs="Times New Roman"/>
          <w:color w:val="000000"/>
          <w:sz w:val="22"/>
          <w:szCs w:val="22"/>
        </w:rPr>
        <w:t>Desistência de servidora (fl. 30);</w:t>
      </w:r>
    </w:p>
    <w:p w:rsidR="00FD290E" w:rsidRPr="006730EC" w:rsidRDefault="00B27CD0">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h) Proposta Comercial (fls. 31/33);</w:t>
      </w:r>
    </w:p>
    <w:p w:rsidR="008D5489" w:rsidRPr="006730EC" w:rsidRDefault="00B27CD0">
      <w:pPr>
        <w:pStyle w:val="western"/>
        <w:tabs>
          <w:tab w:val="left" w:pos="2835"/>
        </w:tabs>
        <w:overflowPunct w:val="0"/>
        <w:spacing w:before="0"/>
        <w:ind w:left="2268"/>
        <w:textAlignment w:val="auto"/>
        <w:rPr>
          <w:rFonts w:ascii="Times New Roman" w:hAnsi="Times New Roman" w:cs="Times New Roman"/>
          <w:color w:val="000000"/>
          <w:sz w:val="22"/>
          <w:szCs w:val="22"/>
        </w:rPr>
      </w:pPr>
      <w:r w:rsidRPr="006730EC">
        <w:rPr>
          <w:rFonts w:ascii="Times New Roman" w:hAnsi="Times New Roman" w:cs="Times New Roman"/>
          <w:color w:val="000000"/>
          <w:sz w:val="22"/>
          <w:szCs w:val="22"/>
          <w:highlight w:val="white"/>
        </w:rPr>
        <w:t xml:space="preserve">i) </w:t>
      </w:r>
      <w:r w:rsidR="00AB244B" w:rsidRPr="006730EC">
        <w:rPr>
          <w:rFonts w:ascii="Times New Roman" w:hAnsi="Times New Roman" w:cs="Times New Roman"/>
          <w:color w:val="000000"/>
          <w:sz w:val="22"/>
          <w:szCs w:val="22"/>
          <w:highlight w:val="white"/>
        </w:rPr>
        <w:t xml:space="preserve">Termo de Referência (fls. </w:t>
      </w:r>
      <w:r w:rsidRPr="006730EC">
        <w:rPr>
          <w:rFonts w:ascii="Times New Roman" w:hAnsi="Times New Roman" w:cs="Times New Roman"/>
          <w:color w:val="000000"/>
          <w:sz w:val="22"/>
          <w:szCs w:val="22"/>
          <w:highlight w:val="white"/>
        </w:rPr>
        <w:t>34</w:t>
      </w:r>
      <w:r w:rsidR="00AB244B" w:rsidRPr="006730EC">
        <w:rPr>
          <w:rFonts w:ascii="Times New Roman" w:hAnsi="Times New Roman" w:cs="Times New Roman"/>
          <w:color w:val="000000"/>
          <w:sz w:val="22"/>
          <w:szCs w:val="22"/>
          <w:highlight w:val="white"/>
        </w:rPr>
        <w:t>/</w:t>
      </w:r>
      <w:r w:rsidRPr="006730EC">
        <w:rPr>
          <w:rFonts w:ascii="Times New Roman" w:hAnsi="Times New Roman" w:cs="Times New Roman"/>
          <w:color w:val="000000"/>
          <w:sz w:val="22"/>
          <w:szCs w:val="22"/>
          <w:highlight w:val="white"/>
        </w:rPr>
        <w:t>42</w:t>
      </w:r>
      <w:r w:rsidR="00AB244B" w:rsidRPr="006730EC">
        <w:rPr>
          <w:rFonts w:ascii="Times New Roman" w:hAnsi="Times New Roman" w:cs="Times New Roman"/>
          <w:color w:val="000000"/>
          <w:sz w:val="22"/>
          <w:szCs w:val="22"/>
          <w:highlight w:val="white"/>
        </w:rPr>
        <w:t>);</w:t>
      </w:r>
    </w:p>
    <w:p w:rsidR="00B27CD0" w:rsidRPr="006730EC" w:rsidRDefault="00B27CD0">
      <w:pPr>
        <w:pStyle w:val="western"/>
        <w:tabs>
          <w:tab w:val="left" w:pos="2835"/>
        </w:tabs>
        <w:overflowPunct w:val="0"/>
        <w:spacing w:before="0"/>
        <w:ind w:left="2268"/>
        <w:textAlignment w:val="auto"/>
        <w:rPr>
          <w:rFonts w:ascii="Times New Roman" w:hAnsi="Times New Roman" w:cs="Times New Roman"/>
          <w:color w:val="000000"/>
          <w:sz w:val="22"/>
          <w:szCs w:val="22"/>
        </w:rPr>
      </w:pPr>
      <w:r w:rsidRPr="006730EC">
        <w:rPr>
          <w:rFonts w:ascii="Times New Roman" w:hAnsi="Times New Roman" w:cs="Times New Roman"/>
          <w:color w:val="000000"/>
          <w:sz w:val="22"/>
          <w:szCs w:val="22"/>
        </w:rPr>
        <w:t>j) Autorização de serviço (fl. 43);</w:t>
      </w:r>
    </w:p>
    <w:p w:rsidR="008D5489" w:rsidRPr="006730EC" w:rsidRDefault="00B27CD0" w:rsidP="00B27CD0">
      <w:pPr>
        <w:pStyle w:val="western"/>
        <w:tabs>
          <w:tab w:val="left" w:pos="2835"/>
        </w:tabs>
        <w:overflowPunct w:val="0"/>
        <w:spacing w:before="0"/>
        <w:ind w:left="2268"/>
        <w:textAlignment w:val="auto"/>
        <w:rPr>
          <w:rFonts w:ascii="Times New Roman" w:hAnsi="Times New Roman" w:cs="Times New Roman"/>
          <w:color w:val="000000"/>
          <w:sz w:val="22"/>
          <w:szCs w:val="22"/>
        </w:rPr>
      </w:pPr>
      <w:r w:rsidRPr="006730EC">
        <w:rPr>
          <w:rFonts w:ascii="Times New Roman" w:hAnsi="Times New Roman" w:cs="Times New Roman"/>
          <w:color w:val="000000"/>
          <w:sz w:val="22"/>
          <w:szCs w:val="22"/>
        </w:rPr>
        <w:t xml:space="preserve">k) </w:t>
      </w:r>
      <w:r w:rsidR="00B52667" w:rsidRPr="006730EC">
        <w:rPr>
          <w:rFonts w:ascii="Times New Roman" w:hAnsi="Times New Roman" w:cs="Times New Roman"/>
          <w:color w:val="000000"/>
          <w:sz w:val="22"/>
          <w:szCs w:val="22"/>
        </w:rPr>
        <w:t>Documentos de r</w:t>
      </w:r>
      <w:r w:rsidR="00B52667" w:rsidRPr="006730EC">
        <w:rPr>
          <w:rFonts w:ascii="Times New Roman" w:hAnsi="Times New Roman" w:cs="Times New Roman"/>
          <w:color w:val="000000"/>
          <w:sz w:val="22"/>
          <w:szCs w:val="22"/>
          <w:highlight w:val="white"/>
        </w:rPr>
        <w:t xml:space="preserve">egularidade da empresa (fls. </w:t>
      </w:r>
      <w:r w:rsidRPr="006730EC">
        <w:rPr>
          <w:rFonts w:ascii="Times New Roman" w:hAnsi="Times New Roman" w:cs="Times New Roman"/>
          <w:color w:val="000000"/>
          <w:sz w:val="22"/>
          <w:szCs w:val="22"/>
          <w:highlight w:val="white"/>
        </w:rPr>
        <w:t>44/</w:t>
      </w:r>
      <w:r w:rsidR="0040159A" w:rsidRPr="006730EC">
        <w:rPr>
          <w:rFonts w:ascii="Times New Roman" w:hAnsi="Times New Roman" w:cs="Times New Roman"/>
          <w:color w:val="000000"/>
          <w:sz w:val="22"/>
          <w:szCs w:val="22"/>
          <w:highlight w:val="white"/>
        </w:rPr>
        <w:t>50</w:t>
      </w:r>
      <w:r w:rsidR="00B52667" w:rsidRPr="006730EC">
        <w:rPr>
          <w:rFonts w:ascii="Times New Roman" w:hAnsi="Times New Roman" w:cs="Times New Roman"/>
          <w:color w:val="000000"/>
          <w:sz w:val="22"/>
          <w:szCs w:val="22"/>
          <w:highlight w:val="white"/>
        </w:rPr>
        <w:t>)</w:t>
      </w:r>
      <w:r w:rsidR="00B52667" w:rsidRPr="006730EC">
        <w:rPr>
          <w:rFonts w:ascii="Times New Roman" w:hAnsi="Times New Roman" w:cs="Times New Roman"/>
          <w:color w:val="000000"/>
          <w:sz w:val="22"/>
          <w:szCs w:val="22"/>
        </w:rPr>
        <w:t>;</w:t>
      </w:r>
    </w:p>
    <w:p w:rsidR="00C429AE" w:rsidRPr="006730EC" w:rsidRDefault="0040159A">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l</w:t>
      </w:r>
      <w:r w:rsidR="00C73FAC" w:rsidRPr="006730EC">
        <w:rPr>
          <w:rFonts w:ascii="Times New Roman" w:hAnsi="Times New Roman" w:cs="Times New Roman"/>
          <w:color w:val="000000"/>
          <w:sz w:val="22"/>
          <w:szCs w:val="22"/>
          <w:highlight w:val="white"/>
        </w:rPr>
        <w:t xml:space="preserve">) </w:t>
      </w:r>
      <w:r w:rsidRPr="006730EC">
        <w:rPr>
          <w:rFonts w:ascii="Times New Roman" w:hAnsi="Times New Roman" w:cs="Times New Roman"/>
          <w:color w:val="000000"/>
          <w:sz w:val="22"/>
          <w:szCs w:val="22"/>
          <w:highlight w:val="white"/>
        </w:rPr>
        <w:t>Minuta de Contrato (fls. 53/60);</w:t>
      </w:r>
    </w:p>
    <w:p w:rsidR="0086275B" w:rsidRPr="006730EC" w:rsidRDefault="0040159A">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m</w:t>
      </w:r>
      <w:r w:rsidR="0086275B" w:rsidRPr="006730EC">
        <w:rPr>
          <w:rFonts w:ascii="Times New Roman" w:hAnsi="Times New Roman" w:cs="Times New Roman"/>
          <w:color w:val="000000"/>
          <w:sz w:val="22"/>
          <w:szCs w:val="22"/>
          <w:highlight w:val="white"/>
        </w:rPr>
        <w:t xml:space="preserve">) </w:t>
      </w:r>
      <w:r w:rsidR="00C36965" w:rsidRPr="006730EC">
        <w:rPr>
          <w:rFonts w:ascii="Times New Roman" w:hAnsi="Times New Roman" w:cs="Times New Roman"/>
          <w:color w:val="000000"/>
          <w:sz w:val="22"/>
          <w:szCs w:val="22"/>
          <w:highlight w:val="white"/>
        </w:rPr>
        <w:t xml:space="preserve">Termo de Justificativa para Inexigibilidade (fl. </w:t>
      </w:r>
      <w:r w:rsidRPr="006730EC">
        <w:rPr>
          <w:rFonts w:ascii="Times New Roman" w:hAnsi="Times New Roman" w:cs="Times New Roman"/>
          <w:color w:val="000000"/>
          <w:sz w:val="22"/>
          <w:szCs w:val="22"/>
          <w:highlight w:val="white"/>
        </w:rPr>
        <w:t>62</w:t>
      </w:r>
      <w:r w:rsidR="00C36965" w:rsidRPr="006730EC">
        <w:rPr>
          <w:rFonts w:ascii="Times New Roman" w:hAnsi="Times New Roman" w:cs="Times New Roman"/>
          <w:color w:val="000000"/>
          <w:sz w:val="22"/>
          <w:szCs w:val="22"/>
          <w:highlight w:val="white"/>
        </w:rPr>
        <w:t>)</w:t>
      </w:r>
      <w:r w:rsidR="00C36965" w:rsidRPr="006730EC">
        <w:rPr>
          <w:rFonts w:ascii="Times New Roman" w:hAnsi="Times New Roman" w:cs="Times New Roman"/>
          <w:color w:val="000000"/>
          <w:sz w:val="22"/>
          <w:szCs w:val="22"/>
        </w:rPr>
        <w:t>;</w:t>
      </w:r>
    </w:p>
    <w:p w:rsidR="00DF4F4F" w:rsidRPr="006730EC" w:rsidRDefault="0040159A">
      <w:pPr>
        <w:pStyle w:val="western"/>
        <w:tabs>
          <w:tab w:val="left" w:pos="2835"/>
        </w:tabs>
        <w:overflowPunct w:val="0"/>
        <w:spacing w:before="0"/>
        <w:ind w:left="2268"/>
        <w:textAlignment w:val="auto"/>
        <w:rPr>
          <w:rFonts w:ascii="Times New Roman" w:hAnsi="Times New Roman" w:cs="Times New Roman"/>
          <w:color w:val="000000"/>
          <w:sz w:val="22"/>
          <w:szCs w:val="22"/>
          <w:highlight w:val="white"/>
        </w:rPr>
      </w:pPr>
      <w:r w:rsidRPr="006730EC">
        <w:rPr>
          <w:rFonts w:ascii="Times New Roman" w:hAnsi="Times New Roman" w:cs="Times New Roman"/>
          <w:color w:val="000000"/>
          <w:sz w:val="22"/>
          <w:szCs w:val="22"/>
          <w:highlight w:val="white"/>
        </w:rPr>
        <w:t>n</w:t>
      </w:r>
      <w:r w:rsidR="00CB6281" w:rsidRPr="006730EC">
        <w:rPr>
          <w:rFonts w:ascii="Times New Roman" w:hAnsi="Times New Roman" w:cs="Times New Roman"/>
          <w:color w:val="000000"/>
          <w:sz w:val="22"/>
          <w:szCs w:val="22"/>
          <w:highlight w:val="white"/>
        </w:rPr>
        <w:t xml:space="preserve">) </w:t>
      </w:r>
      <w:r w:rsidR="00C73FAC" w:rsidRPr="006730EC">
        <w:rPr>
          <w:rFonts w:ascii="Times New Roman" w:hAnsi="Times New Roman" w:cs="Times New Roman"/>
          <w:color w:val="000000"/>
          <w:sz w:val="22"/>
          <w:szCs w:val="22"/>
          <w:highlight w:val="white"/>
        </w:rPr>
        <w:t>Consulta Jurídica (fl.</w:t>
      </w:r>
      <w:r w:rsidR="00E97A2B" w:rsidRPr="006730EC">
        <w:rPr>
          <w:rFonts w:ascii="Times New Roman" w:hAnsi="Times New Roman" w:cs="Times New Roman"/>
          <w:color w:val="000000"/>
          <w:sz w:val="22"/>
          <w:szCs w:val="22"/>
          <w:highlight w:val="white"/>
        </w:rPr>
        <w:t xml:space="preserve"> </w:t>
      </w:r>
      <w:r w:rsidR="00823E7A" w:rsidRPr="006730EC">
        <w:rPr>
          <w:rFonts w:ascii="Times New Roman" w:hAnsi="Times New Roman" w:cs="Times New Roman"/>
          <w:color w:val="000000"/>
          <w:sz w:val="22"/>
          <w:szCs w:val="22"/>
          <w:highlight w:val="white"/>
        </w:rPr>
        <w:t>67</w:t>
      </w:r>
      <w:r w:rsidR="00C73FAC" w:rsidRPr="006730EC">
        <w:rPr>
          <w:rFonts w:ascii="Times New Roman" w:hAnsi="Times New Roman" w:cs="Times New Roman"/>
          <w:color w:val="000000"/>
          <w:sz w:val="22"/>
          <w:szCs w:val="22"/>
          <w:highlight w:val="white"/>
        </w:rPr>
        <w:t>)</w:t>
      </w:r>
      <w:r w:rsidR="002E2564" w:rsidRPr="006730EC">
        <w:rPr>
          <w:rFonts w:ascii="Times New Roman" w:hAnsi="Times New Roman" w:cs="Times New Roman"/>
          <w:color w:val="000000"/>
          <w:sz w:val="22"/>
          <w:szCs w:val="22"/>
          <w:highlight w:val="white"/>
        </w:rPr>
        <w:t>.</w:t>
      </w:r>
    </w:p>
    <w:p w:rsidR="0040159A" w:rsidRDefault="0040159A">
      <w:pPr>
        <w:pStyle w:val="western"/>
        <w:spacing w:before="0"/>
        <w:ind w:firstLine="709"/>
        <w:rPr>
          <w:rFonts w:ascii="Times New Roman" w:hAnsi="Times New Roman" w:cs="Times New Roman"/>
          <w:color w:val="000000"/>
        </w:rPr>
      </w:pPr>
    </w:p>
    <w:p w:rsidR="00DF4F4F" w:rsidRDefault="00C73FAC">
      <w:pPr>
        <w:pStyle w:val="western"/>
        <w:spacing w:before="0"/>
        <w:ind w:firstLine="709"/>
        <w:rPr>
          <w:rFonts w:ascii="Times New Roman" w:hAnsi="Times New Roman" w:cs="Times New Roman"/>
          <w:color w:val="000000"/>
        </w:rPr>
      </w:pPr>
      <w:r>
        <w:rPr>
          <w:rFonts w:ascii="Times New Roman" w:hAnsi="Times New Roman" w:cs="Times New Roman"/>
          <w:color w:val="000000"/>
        </w:rPr>
        <w:t>É</w:t>
      </w:r>
      <w:r>
        <w:rPr>
          <w:rFonts w:ascii="Times New Roman" w:eastAsia="Times New Roman" w:hAnsi="Times New Roman" w:cs="Times New Roman"/>
          <w:color w:val="000000"/>
        </w:rPr>
        <w:t xml:space="preserve"> </w:t>
      </w:r>
      <w:r>
        <w:rPr>
          <w:rFonts w:ascii="Times New Roman" w:hAnsi="Times New Roman" w:cs="Times New Roman"/>
          <w:color w:val="000000"/>
        </w:rPr>
        <w:t>o</w:t>
      </w:r>
      <w:r>
        <w:rPr>
          <w:rFonts w:ascii="Times New Roman" w:eastAsia="Times New Roman" w:hAnsi="Times New Roman" w:cs="Times New Roman"/>
          <w:color w:val="000000"/>
        </w:rPr>
        <w:t xml:space="preserve"> </w:t>
      </w:r>
      <w:r>
        <w:rPr>
          <w:rFonts w:ascii="Times New Roman" w:hAnsi="Times New Roman" w:cs="Times New Roman"/>
          <w:color w:val="000000"/>
        </w:rPr>
        <w:t>relatório.</w:t>
      </w:r>
      <w:r w:rsidR="002D76FB">
        <w:rPr>
          <w:rFonts w:ascii="Times New Roman" w:hAnsi="Times New Roman" w:cs="Times New Roman"/>
          <w:color w:val="000000"/>
        </w:rPr>
        <w:t xml:space="preserve"> Passa-se à análise jurídica.</w:t>
      </w:r>
    </w:p>
    <w:p w:rsidR="00DF4F4F" w:rsidRDefault="00DF4F4F">
      <w:pPr>
        <w:pStyle w:val="NormalWeb"/>
        <w:spacing w:before="0" w:after="0" w:line="360" w:lineRule="auto"/>
        <w:rPr>
          <w:b/>
          <w:bCs/>
        </w:rPr>
      </w:pPr>
    </w:p>
    <w:p w:rsidR="007751B6" w:rsidRPr="007751B6" w:rsidRDefault="007751B6" w:rsidP="007751B6">
      <w:pPr>
        <w:pStyle w:val="TituloPROCANAC"/>
        <w:tabs>
          <w:tab w:val="clear" w:pos="0"/>
          <w:tab w:val="clear" w:pos="1418"/>
          <w:tab w:val="left" w:pos="709"/>
        </w:tabs>
        <w:spacing w:before="0" w:line="360" w:lineRule="auto"/>
        <w:ind w:left="0" w:firstLine="0"/>
        <w:rPr>
          <w:b/>
        </w:rPr>
      </w:pPr>
      <w:r w:rsidRPr="007751B6">
        <w:rPr>
          <w:b/>
        </w:rPr>
        <w:t>II – DO PARECER REFERENCIAL</w:t>
      </w:r>
    </w:p>
    <w:p w:rsidR="007751B6" w:rsidRDefault="007751B6" w:rsidP="007751B6">
      <w:pPr>
        <w:pStyle w:val="TituloPROCANAC"/>
        <w:tabs>
          <w:tab w:val="clear" w:pos="0"/>
          <w:tab w:val="clear" w:pos="1418"/>
          <w:tab w:val="left" w:pos="709"/>
        </w:tabs>
        <w:spacing w:before="0" w:line="360" w:lineRule="auto"/>
        <w:ind w:left="0" w:firstLine="0"/>
      </w:pPr>
    </w:p>
    <w:p w:rsidR="007751B6" w:rsidRPr="007751B6" w:rsidRDefault="00BA2C6E" w:rsidP="007751B6">
      <w:pPr>
        <w:pStyle w:val="TituloPROCANAC"/>
        <w:tabs>
          <w:tab w:val="clear" w:pos="0"/>
          <w:tab w:val="clear" w:pos="1418"/>
          <w:tab w:val="left" w:pos="709"/>
        </w:tabs>
        <w:spacing w:before="0" w:line="360" w:lineRule="auto"/>
        <w:ind w:left="0" w:firstLine="0"/>
      </w:pPr>
      <w:r>
        <w:t>4</w:t>
      </w:r>
      <w:r w:rsidR="007751B6">
        <w:t>.</w:t>
      </w:r>
      <w:r w:rsidR="007751B6">
        <w:tab/>
      </w:r>
      <w:r w:rsidR="007751B6" w:rsidRPr="007751B6">
        <w:t xml:space="preserve">É importante mencionar que, recentemente, houve a publicação da Portaria nº 262 da PGF/AGU, datada de 05 de maio de 2017 (e que corrobora a Orientação Normativa da AGU nº </w:t>
      </w:r>
      <w:r w:rsidR="007751B6" w:rsidRPr="007751B6">
        <w:lastRenderedPageBreak/>
        <w:t>55/2014). O citado normativo, em seu art. 3º, traz que “os órgãos de execução da PGF competentes para realizar a</w:t>
      </w:r>
      <w:r w:rsidR="007751B6" w:rsidRPr="007751B6">
        <w:rPr>
          <w:rFonts w:eastAsia="Malgun Gothic"/>
        </w:rPr>
        <w:t>ti</w:t>
      </w:r>
      <w:r w:rsidR="007751B6" w:rsidRPr="007751B6">
        <w:t>vidades de consultoria jurídica, nos termos do art. 3º da Portaria PGF nº 526, de 26 de agosto de 2013, deverão priorizar a avaliação da possibilidade de elaboração de manifestações jurídicas referenciais”.</w:t>
      </w:r>
    </w:p>
    <w:p w:rsidR="007751B6" w:rsidRPr="007751B6" w:rsidRDefault="007751B6" w:rsidP="007751B6">
      <w:pPr>
        <w:pStyle w:val="TituloPROCANAC"/>
        <w:tabs>
          <w:tab w:val="clear" w:pos="0"/>
          <w:tab w:val="clear" w:pos="1418"/>
          <w:tab w:val="left" w:pos="709"/>
        </w:tabs>
        <w:spacing w:before="0" w:line="360" w:lineRule="auto"/>
        <w:ind w:left="0" w:firstLine="0"/>
      </w:pPr>
    </w:p>
    <w:p w:rsidR="007751B6" w:rsidRPr="007751B6" w:rsidRDefault="00BA2C6E" w:rsidP="007751B6">
      <w:pPr>
        <w:pStyle w:val="TituloPROCANAC"/>
        <w:tabs>
          <w:tab w:val="left" w:pos="709"/>
        </w:tabs>
        <w:spacing w:before="0" w:line="360" w:lineRule="auto"/>
        <w:ind w:left="0" w:firstLine="0"/>
      </w:pPr>
      <w:r>
        <w:t>5</w:t>
      </w:r>
      <w:r w:rsidR="007751B6">
        <w:t>.</w:t>
      </w:r>
      <w:r w:rsidR="007751B6">
        <w:tab/>
      </w:r>
      <w:r w:rsidR="007751B6" w:rsidRPr="007751B6">
        <w:t>Segundo o parágrafo único do seu art. 1º, “considera-se manifestação jurídica referencial aquela que analisa todas as questões jurídicas que envolvam matérias idên</w:t>
      </w:r>
      <w:r w:rsidR="007751B6" w:rsidRPr="007751B6">
        <w:rPr>
          <w:rFonts w:eastAsia="Malgun Gothic"/>
        </w:rPr>
        <w:t>ti</w:t>
      </w:r>
      <w:r w:rsidR="007751B6" w:rsidRPr="007751B6">
        <w:t>cas e recorrentes, dispensando a obrigatoriedade legal de elaboração de parecer individualizado para os respec</w:t>
      </w:r>
      <w:r w:rsidR="007751B6" w:rsidRPr="007751B6">
        <w:rPr>
          <w:rFonts w:eastAsia="Malgun Gothic"/>
        </w:rPr>
        <w:t>ti</w:t>
      </w:r>
      <w:r w:rsidR="007751B6" w:rsidRPr="007751B6">
        <w:t>vos casos concretos”.</w:t>
      </w:r>
    </w:p>
    <w:p w:rsidR="007751B6" w:rsidRPr="007751B6" w:rsidRDefault="007751B6" w:rsidP="007751B6">
      <w:pPr>
        <w:pStyle w:val="TituloPROCANAC"/>
        <w:tabs>
          <w:tab w:val="left" w:pos="709"/>
        </w:tabs>
        <w:spacing w:before="0" w:line="360" w:lineRule="auto"/>
        <w:ind w:left="0" w:firstLine="0"/>
      </w:pPr>
    </w:p>
    <w:p w:rsidR="007751B6" w:rsidRDefault="00BA2C6E" w:rsidP="007751B6">
      <w:pPr>
        <w:pStyle w:val="TituloPROCANAC"/>
        <w:tabs>
          <w:tab w:val="left" w:pos="709"/>
        </w:tabs>
        <w:spacing w:before="0" w:line="360" w:lineRule="auto"/>
        <w:ind w:left="0" w:firstLine="0"/>
      </w:pPr>
      <w:r>
        <w:t>6</w:t>
      </w:r>
      <w:r w:rsidR="007751B6" w:rsidRPr="007751B6">
        <w:t>.</w:t>
      </w:r>
      <w:r w:rsidR="007751B6" w:rsidRPr="007751B6">
        <w:tab/>
        <w:t xml:space="preserve">No esteio do que trazido acima, fica evidente que, objetivando prestigiar especialmente o princípio da eficiência previsto no </w:t>
      </w:r>
      <w:r w:rsidR="007751B6" w:rsidRPr="007751B6">
        <w:rPr>
          <w:i/>
        </w:rPr>
        <w:t>caput</w:t>
      </w:r>
      <w:r w:rsidR="007751B6" w:rsidRPr="007751B6">
        <w:t xml:space="preserve"> do art. 37 da Constituição da República, a Procuradoria-Geral Federal tem estimulado a elaboração de pareceres referenciais, dispensando a análise de processos repetitivos e que, comumente, restringem o trabalho da Procuradoria à conferência de documentos, sem que exista qualquer dúvida jurídica a ser dirimida. Situações como esta em tela parecem estar entre aquelas para que a PGF </w:t>
      </w:r>
      <w:proofErr w:type="gramStart"/>
      <w:r w:rsidR="007751B6" w:rsidRPr="007751B6">
        <w:t>estimula</w:t>
      </w:r>
      <w:proofErr w:type="gramEnd"/>
      <w:r w:rsidR="007751B6" w:rsidRPr="007751B6">
        <w:t xml:space="preserve"> a adoção de parecer referencial, como se exporá abaixo.</w:t>
      </w:r>
    </w:p>
    <w:p w:rsidR="00055841" w:rsidRDefault="00055841" w:rsidP="007751B6">
      <w:pPr>
        <w:pStyle w:val="TituloPROCANAC"/>
        <w:tabs>
          <w:tab w:val="left" w:pos="709"/>
        </w:tabs>
        <w:spacing w:before="0" w:line="360" w:lineRule="auto"/>
        <w:ind w:left="0" w:firstLine="0"/>
      </w:pPr>
    </w:p>
    <w:p w:rsidR="00055841" w:rsidRPr="00055841" w:rsidRDefault="00055841" w:rsidP="007751B6">
      <w:pPr>
        <w:pStyle w:val="TituloPROCANAC"/>
        <w:tabs>
          <w:tab w:val="left" w:pos="709"/>
        </w:tabs>
        <w:spacing w:before="0" w:line="360" w:lineRule="auto"/>
        <w:ind w:left="0" w:firstLine="0"/>
        <w:rPr>
          <w:b/>
        </w:rPr>
      </w:pPr>
      <w:r w:rsidRPr="00055841">
        <w:rPr>
          <w:b/>
        </w:rPr>
        <w:t>III – INEXIGIBILIDADE DE LICITAÇÃO PARA INSCRIÇÃO DE SERVIDOR EM CURSO OU CONGRESSO</w:t>
      </w:r>
      <w:r w:rsidR="00AB10B9">
        <w:rPr>
          <w:b/>
        </w:rPr>
        <w:t xml:space="preserve"> E SUA ADEQUAÇÃO AO PARECER REFERENCIAL</w:t>
      </w:r>
    </w:p>
    <w:p w:rsidR="00055841" w:rsidRDefault="00055841" w:rsidP="007751B6">
      <w:pPr>
        <w:pStyle w:val="TituloPROCANAC"/>
        <w:tabs>
          <w:tab w:val="left" w:pos="709"/>
        </w:tabs>
        <w:spacing w:before="0" w:line="360" w:lineRule="auto"/>
        <w:ind w:left="0" w:firstLine="0"/>
      </w:pPr>
    </w:p>
    <w:p w:rsidR="00275B1C" w:rsidRPr="00275B1C" w:rsidRDefault="00BA2C6E" w:rsidP="00275B1C">
      <w:pPr>
        <w:pStyle w:val="TituloPROCANAC"/>
        <w:tabs>
          <w:tab w:val="clear" w:pos="0"/>
          <w:tab w:val="clear" w:pos="1418"/>
          <w:tab w:val="left" w:pos="709"/>
        </w:tabs>
        <w:spacing w:before="0" w:line="360" w:lineRule="auto"/>
        <w:ind w:left="0" w:firstLine="0"/>
      </w:pPr>
      <w:r>
        <w:t>7</w:t>
      </w:r>
      <w:r w:rsidR="00275B1C">
        <w:t>.</w:t>
      </w:r>
      <w:r w:rsidR="00275B1C">
        <w:tab/>
      </w:r>
      <w:r w:rsidR="00275B1C" w:rsidRPr="00275B1C">
        <w:t xml:space="preserve">Com efeito, a contratação de serviços técnicos profissionais especializados previstos no art. 13, inciso </w:t>
      </w:r>
      <w:proofErr w:type="gramStart"/>
      <w:r w:rsidR="00275B1C" w:rsidRPr="00275B1C">
        <w:t>VI</w:t>
      </w:r>
      <w:proofErr w:type="gramEnd"/>
      <w:r w:rsidR="00275B1C" w:rsidRPr="00275B1C">
        <w:t xml:space="preserve"> c/c, art. 25, inciso II, da Lei nº 8.666/93, especificamente a inscrição de servidores em cursos, congressos e atividades afins, comumente conhecida como pagamento de taxa de inscrição (na medida em que a concessão de diárias e/ou passagens foge da alçada da consultoria jurídica), configura-se em um processo administrativo bastante simples, em que a atividade da Procuradoria acaba por ser, basicamente, </w:t>
      </w:r>
      <w:r w:rsidR="00275B1C">
        <w:t xml:space="preserve">a de </w:t>
      </w:r>
      <w:r w:rsidR="00275B1C" w:rsidRPr="00275B1C">
        <w:t>confer</w:t>
      </w:r>
      <w:r w:rsidR="00275B1C">
        <w:t>ência</w:t>
      </w:r>
      <w:r w:rsidR="00275B1C" w:rsidRPr="00275B1C">
        <w:t xml:space="preserve"> </w:t>
      </w:r>
      <w:r w:rsidR="00275B1C">
        <w:t>dos</w:t>
      </w:r>
      <w:r w:rsidR="00275B1C" w:rsidRPr="00275B1C">
        <w:t xml:space="preserve"> documentos acostados aos autos e se as exigências legais foram atendidas. Não há complexidade jurídica e os casos se repetem sem qualquer variação efetiva, </w:t>
      </w:r>
      <w:r w:rsidR="00275B1C">
        <w:t xml:space="preserve">posto </w:t>
      </w:r>
      <w:r w:rsidR="00275B1C" w:rsidRPr="00275B1C">
        <w:t xml:space="preserve">que a Administração já </w:t>
      </w:r>
      <w:proofErr w:type="gramStart"/>
      <w:r w:rsidR="00275B1C" w:rsidRPr="00275B1C">
        <w:t>está</w:t>
      </w:r>
      <w:proofErr w:type="gramEnd"/>
      <w:r w:rsidR="00275B1C">
        <w:t xml:space="preserve"> </w:t>
      </w:r>
      <w:r w:rsidR="00275B1C" w:rsidRPr="00275B1C">
        <w:t>completamente habituada à instrução desses feitos.</w:t>
      </w:r>
    </w:p>
    <w:p w:rsidR="00275B1C" w:rsidRPr="00275B1C" w:rsidRDefault="00275B1C" w:rsidP="00275B1C">
      <w:pPr>
        <w:pStyle w:val="TituloPROCANAC"/>
        <w:tabs>
          <w:tab w:val="clear" w:pos="0"/>
          <w:tab w:val="clear" w:pos="1418"/>
          <w:tab w:val="left" w:pos="709"/>
        </w:tabs>
        <w:spacing w:before="0" w:line="360" w:lineRule="auto"/>
        <w:ind w:left="0" w:firstLine="0"/>
      </w:pPr>
    </w:p>
    <w:p w:rsidR="00275B1C" w:rsidRPr="00275B1C" w:rsidRDefault="00BA2C6E" w:rsidP="00275B1C">
      <w:pPr>
        <w:pStyle w:val="TituloPROCANAC"/>
        <w:tabs>
          <w:tab w:val="clear" w:pos="0"/>
          <w:tab w:val="clear" w:pos="1418"/>
          <w:tab w:val="left" w:pos="709"/>
        </w:tabs>
        <w:spacing w:before="0" w:line="360" w:lineRule="auto"/>
        <w:ind w:left="0" w:firstLine="0"/>
      </w:pPr>
      <w:r>
        <w:t>8</w:t>
      </w:r>
      <w:r w:rsidR="00275B1C">
        <w:t>.</w:t>
      </w:r>
      <w:r w:rsidR="00275B1C">
        <w:tab/>
      </w:r>
      <w:r w:rsidR="00275B1C" w:rsidRPr="00275B1C">
        <w:t>Já não bastasse, apesar da pouca complexidade desses processos, repetem-se às muitas dezenas anualmente, como facilmente se afere. Isso acaba por sobrecarregar a Procuradoria, que poderia dedicar mais tempo e atenção a processos diversos que realmente necessitem de maior cuidado. Igualmente, a obrigatoriedade de submeter os autos ao órgão de consultoria acaba por atrasar o fluxo do andamento administrativo do processo, sendo notório que nem sempre os requerimentos são iniciados com muita antecedência ao evento a que se pretende atender. Assim, não raro o processo chega para análise já com pedido de urgência, o que mais uma vez impacta não só nos serviços da Procuradoria, como também dos setores administrativos antecedentes. A supressão de uma etapa que, legalmente, goza de até 15 (quinze) dias para ser feita, conforme o art. 42 da Lei nº 9.784/99, parece vir a calhar nesse caso, é fácil perceber.</w:t>
      </w:r>
    </w:p>
    <w:p w:rsidR="00275B1C" w:rsidRPr="00275B1C" w:rsidRDefault="00275B1C" w:rsidP="00275B1C">
      <w:pPr>
        <w:pStyle w:val="TituloPROCANAC"/>
        <w:tabs>
          <w:tab w:val="clear" w:pos="0"/>
          <w:tab w:val="clear" w:pos="1418"/>
          <w:tab w:val="left" w:pos="709"/>
        </w:tabs>
        <w:spacing w:before="0" w:line="360" w:lineRule="auto"/>
        <w:ind w:left="0" w:firstLine="0"/>
      </w:pPr>
    </w:p>
    <w:p w:rsidR="00275B1C" w:rsidRPr="00275B1C" w:rsidRDefault="00BA2C6E" w:rsidP="00275B1C">
      <w:pPr>
        <w:pStyle w:val="TituloPROCANAC"/>
        <w:tabs>
          <w:tab w:val="clear" w:pos="0"/>
          <w:tab w:val="clear" w:pos="1418"/>
          <w:tab w:val="left" w:pos="709"/>
        </w:tabs>
        <w:spacing w:before="0" w:line="360" w:lineRule="auto"/>
        <w:ind w:left="0" w:firstLine="0"/>
      </w:pPr>
      <w:r>
        <w:t>9</w:t>
      </w:r>
      <w:r w:rsidR="00275B1C">
        <w:t>.</w:t>
      </w:r>
      <w:r w:rsidR="00275B1C">
        <w:tab/>
      </w:r>
      <w:r w:rsidR="00275B1C" w:rsidRPr="00275B1C">
        <w:t>Nesse diapasão, afigura-se observado o art. 2º da mencionada Portaria, o</w:t>
      </w:r>
      <w:r w:rsidR="002D76FB">
        <w:t xml:space="preserve"> qual salienta que </w:t>
      </w:r>
      <w:r w:rsidR="00275B1C" w:rsidRPr="00275B1C">
        <w:t>“são requisitos para a elaboração de manifestação jurídica referencial: I - o volume de processos em matérias idên</w:t>
      </w:r>
      <w:r w:rsidR="00275B1C" w:rsidRPr="00275B1C">
        <w:rPr>
          <w:rFonts w:eastAsia="Malgun Gothic"/>
        </w:rPr>
        <w:t>ti</w:t>
      </w:r>
      <w:r w:rsidR="00275B1C" w:rsidRPr="00275B1C">
        <w:t>cas e recorrentes que acarrete sobrecarga de trabalho devidamente comprovada e venha a impactar, jus</w:t>
      </w:r>
      <w:r w:rsidR="00275B1C" w:rsidRPr="00275B1C">
        <w:rPr>
          <w:rFonts w:eastAsia="Malgun Gothic"/>
        </w:rPr>
        <w:t>ti</w:t>
      </w:r>
      <w:r w:rsidR="00275B1C" w:rsidRPr="00275B1C">
        <w:t>ficadamente, a atuação do órgão consul</w:t>
      </w:r>
      <w:r w:rsidR="00275B1C" w:rsidRPr="00275B1C">
        <w:rPr>
          <w:rFonts w:eastAsia="Malgun Gothic"/>
        </w:rPr>
        <w:t>ti</w:t>
      </w:r>
      <w:r w:rsidR="00275B1C" w:rsidRPr="00275B1C">
        <w:t>vo ou a celeridade dos serviços administra</w:t>
      </w:r>
      <w:r w:rsidR="00275B1C" w:rsidRPr="00275B1C">
        <w:rPr>
          <w:rFonts w:eastAsia="Malgun Gothic"/>
        </w:rPr>
        <w:t>ti</w:t>
      </w:r>
      <w:r w:rsidR="00275B1C" w:rsidRPr="00275B1C">
        <w:t>vos; e II – a a</w:t>
      </w:r>
      <w:r w:rsidR="00275B1C" w:rsidRPr="00275B1C">
        <w:rPr>
          <w:rFonts w:eastAsia="Malgun Gothic"/>
        </w:rPr>
        <w:t>ti</w:t>
      </w:r>
      <w:r w:rsidR="00275B1C" w:rsidRPr="00275B1C">
        <w:t>vidade jurídica exercida se restringir à verificação do atendimento das exigências legais a par</w:t>
      </w:r>
      <w:r w:rsidR="00275B1C" w:rsidRPr="00275B1C">
        <w:rPr>
          <w:rFonts w:eastAsia="Malgun Gothic"/>
        </w:rPr>
        <w:t>tir</w:t>
      </w:r>
      <w:r w:rsidR="00275B1C" w:rsidRPr="00275B1C">
        <w:t xml:space="preserve"> da simples conferência de documentos”.</w:t>
      </w:r>
    </w:p>
    <w:p w:rsidR="00275B1C" w:rsidRPr="00275B1C" w:rsidRDefault="00275B1C" w:rsidP="00275B1C">
      <w:pPr>
        <w:pStyle w:val="TituloPROCANAC"/>
        <w:tabs>
          <w:tab w:val="clear" w:pos="0"/>
          <w:tab w:val="clear" w:pos="1418"/>
          <w:tab w:val="left" w:pos="709"/>
        </w:tabs>
        <w:spacing w:before="0" w:line="360" w:lineRule="auto"/>
        <w:ind w:left="0" w:firstLine="0"/>
      </w:pPr>
    </w:p>
    <w:p w:rsidR="00275B1C" w:rsidRPr="00275B1C" w:rsidRDefault="00BA2C6E" w:rsidP="00275B1C">
      <w:pPr>
        <w:pStyle w:val="TituloPROCANAC"/>
        <w:tabs>
          <w:tab w:val="clear" w:pos="0"/>
          <w:tab w:val="clear" w:pos="1418"/>
          <w:tab w:val="left" w:pos="709"/>
        </w:tabs>
        <w:spacing w:before="0" w:line="360" w:lineRule="auto"/>
        <w:ind w:left="0" w:firstLine="0"/>
      </w:pPr>
      <w:r>
        <w:t>10</w:t>
      </w:r>
      <w:r w:rsidR="00275B1C">
        <w:t>.</w:t>
      </w:r>
      <w:r w:rsidR="00275B1C">
        <w:tab/>
      </w:r>
      <w:r w:rsidR="00275B1C" w:rsidRPr="00275B1C">
        <w:t xml:space="preserve">Observado está sendo, pois, também o §3º do mesmo art. 2º, </w:t>
      </w:r>
      <w:r w:rsidR="00275B1C" w:rsidRPr="00275B1C">
        <w:rPr>
          <w:i/>
        </w:rPr>
        <w:t>in verbis</w:t>
      </w:r>
      <w:r w:rsidR="00275B1C" w:rsidRPr="00275B1C">
        <w:t>: “a manifestação jurídica referencial deverá conter capítulo específico des</w:t>
      </w:r>
      <w:r w:rsidR="00275B1C" w:rsidRPr="00275B1C">
        <w:rPr>
          <w:rFonts w:eastAsia="Malgun Gothic"/>
        </w:rPr>
        <w:t>ti</w:t>
      </w:r>
      <w:r w:rsidR="00275B1C" w:rsidRPr="00275B1C">
        <w:t>nado à demonstração dos requisitos enunciados no caput”.</w:t>
      </w:r>
    </w:p>
    <w:p w:rsidR="00275B1C" w:rsidRPr="00275B1C" w:rsidRDefault="00275B1C" w:rsidP="00275B1C">
      <w:pPr>
        <w:pStyle w:val="TituloPROCANAC"/>
        <w:tabs>
          <w:tab w:val="clear" w:pos="0"/>
          <w:tab w:val="clear" w:pos="1418"/>
          <w:tab w:val="left" w:pos="709"/>
        </w:tabs>
        <w:spacing w:before="0" w:line="360" w:lineRule="auto"/>
        <w:ind w:left="0" w:firstLine="0"/>
      </w:pPr>
    </w:p>
    <w:p w:rsidR="00275B1C" w:rsidRPr="00275B1C" w:rsidRDefault="00275B1C" w:rsidP="00275B1C">
      <w:pPr>
        <w:pStyle w:val="TituloPROCANAC"/>
        <w:tabs>
          <w:tab w:val="clear" w:pos="0"/>
          <w:tab w:val="clear" w:pos="1418"/>
          <w:tab w:val="left" w:pos="709"/>
        </w:tabs>
        <w:spacing w:before="0" w:line="360" w:lineRule="auto"/>
        <w:ind w:left="0" w:firstLine="0"/>
      </w:pPr>
      <w:r>
        <w:t>1</w:t>
      </w:r>
      <w:r w:rsidR="00BA2C6E">
        <w:t>1</w:t>
      </w:r>
      <w:r>
        <w:t>.</w:t>
      </w:r>
      <w:r>
        <w:tab/>
      </w:r>
      <w:r w:rsidRPr="00275B1C">
        <w:rPr>
          <w:b/>
          <w:u w:val="single"/>
        </w:rPr>
        <w:t xml:space="preserve">Diante do que acima desenvolvido, consoante o art. 3º, § 2º, da multicitada Portaria PGF/AGU nº 262/2017, “os processos que </w:t>
      </w:r>
      <w:r w:rsidR="009D34B1" w:rsidRPr="00275B1C">
        <w:rPr>
          <w:b/>
          <w:u w:val="single"/>
        </w:rPr>
        <w:t>sejam objetos</w:t>
      </w:r>
      <w:r w:rsidRPr="00275B1C">
        <w:rPr>
          <w:b/>
          <w:u w:val="single"/>
        </w:rPr>
        <w:t xml:space="preserve"> de manifestação jurídica referencial estão dispensados de análise individualizada pelos órgãos consul</w:t>
      </w:r>
      <w:r w:rsidRPr="00275B1C">
        <w:rPr>
          <w:rFonts w:eastAsia="Malgun Gothic"/>
          <w:b/>
          <w:u w:val="single"/>
        </w:rPr>
        <w:t>ti</w:t>
      </w:r>
      <w:r w:rsidRPr="00275B1C">
        <w:rPr>
          <w:b/>
          <w:u w:val="single"/>
        </w:rPr>
        <w:t xml:space="preserve">vos, desde que a área técnica </w:t>
      </w:r>
      <w:proofErr w:type="gramStart"/>
      <w:r w:rsidRPr="00275B1C">
        <w:rPr>
          <w:b/>
          <w:u w:val="single"/>
        </w:rPr>
        <w:t>ateste,</w:t>
      </w:r>
      <w:proofErr w:type="gramEnd"/>
      <w:r w:rsidRPr="00275B1C">
        <w:rPr>
          <w:b/>
          <w:u w:val="single"/>
        </w:rPr>
        <w:t xml:space="preserve"> de forma expressa, que o caso concreto se amolda aos termos da citada manifestação”. Assim, caberá à Administração afirmar cabalmente, em cada caso, que este se amolda à hipótese narrada neste parecer referencial, ficando dispensado, então, o envio dos autos à Procuradoria (mas não a instrução do processo administrativo, que </w:t>
      </w:r>
      <w:r w:rsidRPr="00275B1C">
        <w:rPr>
          <w:b/>
          <w:u w:val="single"/>
        </w:rPr>
        <w:lastRenderedPageBreak/>
        <w:t>deverá ser feita normalmente</w:t>
      </w:r>
      <w:r w:rsidRPr="00096EC8">
        <w:rPr>
          <w:b/>
          <w:u w:val="single"/>
        </w:rPr>
        <w:t>)</w:t>
      </w:r>
      <w:r w:rsidRPr="00D87ABE">
        <w:t>.</w:t>
      </w:r>
      <w:r w:rsidR="00025F61">
        <w:t xml:space="preserve"> </w:t>
      </w:r>
      <w:r w:rsidR="007D1857">
        <w:t>Desse modo</w:t>
      </w:r>
      <w:r w:rsidR="00025F61" w:rsidRPr="00D87ABE">
        <w:t>, deverá a autoridade competente</w:t>
      </w:r>
      <w:r w:rsidR="00096EC8" w:rsidRPr="00D87ABE">
        <w:t xml:space="preserve"> declarar nos autos</w:t>
      </w:r>
      <w:r w:rsidR="00D87ABE">
        <w:t xml:space="preserve"> que seguiu as orientações dadas no Parecer Referencial, e em conformidade com os modelos de documentos </w:t>
      </w:r>
      <w:r w:rsidR="00551BF3" w:rsidRPr="00D87ABE">
        <w:t>estabelecidos</w:t>
      </w:r>
      <w:r w:rsidR="00D87ABE">
        <w:t xml:space="preserve"> pela</w:t>
      </w:r>
      <w:r w:rsidR="00551BF3">
        <w:t xml:space="preserve"> </w:t>
      </w:r>
      <w:r w:rsidR="00D87ABE">
        <w:t>Comissão responsável pela elaboração de minutas de documentos necessários à formalização processual, no que tange às aquisições e contratações públicas, para padronização no âmbito do IF Sertão-PE</w:t>
      </w:r>
      <w:r w:rsidR="0027016F">
        <w:t xml:space="preserve">, nos termos da </w:t>
      </w:r>
      <w:r w:rsidR="001A16CA">
        <w:t>Portaria n. 08, de 01/02/2017</w:t>
      </w:r>
      <w:r w:rsidR="0027016F">
        <w:t xml:space="preserve">, e do </w:t>
      </w:r>
      <w:r w:rsidR="0027016F" w:rsidRPr="0010557C">
        <w:rPr>
          <w:b/>
        </w:rPr>
        <w:t>Anexo I</w:t>
      </w:r>
      <w:r w:rsidR="0027016F">
        <w:t xml:space="preserve"> deste Parecer.</w:t>
      </w:r>
    </w:p>
    <w:p w:rsidR="00275B1C" w:rsidRPr="00275B1C" w:rsidRDefault="00275B1C" w:rsidP="00275B1C">
      <w:pPr>
        <w:pStyle w:val="TituloPROCANAC"/>
        <w:tabs>
          <w:tab w:val="clear" w:pos="0"/>
          <w:tab w:val="clear" w:pos="1418"/>
          <w:tab w:val="left" w:pos="709"/>
        </w:tabs>
        <w:spacing w:before="0" w:line="360" w:lineRule="auto"/>
        <w:ind w:left="0" w:firstLine="0"/>
      </w:pPr>
    </w:p>
    <w:p w:rsidR="00055841" w:rsidRPr="00275B1C" w:rsidRDefault="00D01E7A" w:rsidP="00275B1C">
      <w:pPr>
        <w:pStyle w:val="TituloPROCANAC"/>
        <w:tabs>
          <w:tab w:val="left" w:pos="709"/>
        </w:tabs>
        <w:spacing w:before="0" w:line="360" w:lineRule="auto"/>
        <w:ind w:left="0" w:firstLine="0"/>
      </w:pPr>
      <w:r>
        <w:t xml:space="preserve"> </w:t>
      </w:r>
    </w:p>
    <w:p w:rsidR="00055841" w:rsidRDefault="00055841" w:rsidP="007751B6">
      <w:pPr>
        <w:pStyle w:val="TituloPROCANAC"/>
        <w:tabs>
          <w:tab w:val="left" w:pos="709"/>
        </w:tabs>
        <w:spacing w:before="0" w:line="360" w:lineRule="auto"/>
        <w:ind w:left="0" w:firstLine="0"/>
      </w:pPr>
    </w:p>
    <w:p w:rsidR="00FC1498" w:rsidRPr="00FC1498" w:rsidRDefault="00FC1498">
      <w:pPr>
        <w:pStyle w:val="TituloPROCANAC"/>
        <w:tabs>
          <w:tab w:val="left" w:pos="709"/>
        </w:tabs>
        <w:spacing w:before="0" w:line="360" w:lineRule="auto"/>
        <w:ind w:left="0" w:firstLine="0"/>
        <w:rPr>
          <w:b/>
        </w:rPr>
      </w:pPr>
      <w:r w:rsidRPr="00FC1498">
        <w:rPr>
          <w:b/>
        </w:rPr>
        <w:t>IV – FUNDAMENTAÇÃO</w:t>
      </w:r>
    </w:p>
    <w:p w:rsidR="00AB4890" w:rsidRDefault="00AB4890">
      <w:pPr>
        <w:pStyle w:val="TituloPROCANAC"/>
        <w:tabs>
          <w:tab w:val="left" w:pos="709"/>
        </w:tabs>
        <w:spacing w:before="0" w:line="360" w:lineRule="auto"/>
        <w:ind w:left="0" w:firstLine="0"/>
      </w:pPr>
    </w:p>
    <w:p w:rsidR="00DF4F4F" w:rsidRDefault="00E0022A">
      <w:pPr>
        <w:pStyle w:val="TituloPROCANAC"/>
        <w:tabs>
          <w:tab w:val="left" w:pos="709"/>
        </w:tabs>
        <w:spacing w:before="0" w:line="360" w:lineRule="auto"/>
        <w:ind w:left="0" w:firstLine="0"/>
      </w:pPr>
      <w:r>
        <w:t>13</w:t>
      </w:r>
      <w:r w:rsidR="00C73FAC">
        <w:t>.</w:t>
      </w:r>
      <w:r w:rsidR="00C73FAC">
        <w:tab/>
        <w:t xml:space="preserve">A capacitação dos servidores públicos deve, sempre que possível, ser estimulada. O Decreto nº 5.707, de 23 de fevereiro de 2006, que institui a política e as diretrizes para o desenvolvimento de pessoal da administração pública federal direta, autárquica e fundacional, dispõe em seu art. 3º, </w:t>
      </w:r>
      <w:r w:rsidR="00C73FAC">
        <w:rPr>
          <w:i/>
        </w:rPr>
        <w:t>in verbis</w:t>
      </w:r>
      <w:r w:rsidR="00C73FAC">
        <w:t>:</w:t>
      </w:r>
    </w:p>
    <w:p w:rsidR="00DF4F4F" w:rsidRDefault="00DF4F4F">
      <w:pPr>
        <w:pStyle w:val="Corpodetexto"/>
        <w:spacing w:after="0" w:line="360" w:lineRule="auto"/>
        <w:ind w:left="708"/>
        <w:rPr>
          <w:b/>
          <w:color w:val="000000"/>
        </w:rPr>
      </w:pPr>
    </w:p>
    <w:p w:rsidR="00DF4F4F" w:rsidRDefault="00C73FAC">
      <w:pPr>
        <w:spacing w:line="360" w:lineRule="auto"/>
        <w:ind w:left="2124"/>
        <w:jc w:val="both"/>
        <w:rPr>
          <w:color w:val="000000"/>
          <w:szCs w:val="24"/>
        </w:rPr>
      </w:pPr>
      <w:r>
        <w:rPr>
          <w:color w:val="000000"/>
          <w:szCs w:val="24"/>
        </w:rPr>
        <w:t>Art. 3</w:t>
      </w:r>
      <w:r>
        <w:rPr>
          <w:color w:val="000000"/>
          <w:szCs w:val="24"/>
          <w:u w:val="single"/>
          <w:vertAlign w:val="superscript"/>
        </w:rPr>
        <w:t>o</w:t>
      </w:r>
      <w:r>
        <w:rPr>
          <w:color w:val="000000"/>
          <w:szCs w:val="24"/>
        </w:rPr>
        <w:t xml:space="preserve"> São diretrizes da Política Nacional de Desenvolvimento de Pessoal:</w:t>
      </w:r>
    </w:p>
    <w:p w:rsidR="00DF4F4F" w:rsidRDefault="00C73FAC">
      <w:pPr>
        <w:spacing w:line="360" w:lineRule="auto"/>
        <w:ind w:left="2124"/>
        <w:jc w:val="both"/>
        <w:rPr>
          <w:color w:val="000000"/>
          <w:szCs w:val="24"/>
        </w:rPr>
      </w:pPr>
      <w:r>
        <w:rPr>
          <w:color w:val="000000"/>
          <w:szCs w:val="24"/>
        </w:rPr>
        <w:t>I - incentivar e apoiar o servidor público em suas iniciativas de capacitação voltadas para o desenvolvimento das competências institucionais e individuais;</w:t>
      </w:r>
    </w:p>
    <w:p w:rsidR="00DF4F4F" w:rsidRDefault="00C73FAC">
      <w:pPr>
        <w:pStyle w:val="Corpodetexto"/>
        <w:spacing w:after="0" w:line="360" w:lineRule="auto"/>
        <w:ind w:left="2124"/>
        <w:jc w:val="both"/>
        <w:rPr>
          <w:b/>
          <w:color w:val="000000"/>
        </w:rPr>
      </w:pPr>
      <w:r>
        <w:rPr>
          <w:b/>
          <w:color w:val="000000"/>
        </w:rPr>
        <w:t>II - assegurar o acesso dos servidores a eventos de capacitação interna ou externamente ao seu local de trabalho;</w:t>
      </w:r>
    </w:p>
    <w:p w:rsidR="00DF4F4F" w:rsidRDefault="00DF4F4F">
      <w:pPr>
        <w:pStyle w:val="TituloPROCANAC"/>
        <w:tabs>
          <w:tab w:val="left" w:pos="709"/>
        </w:tabs>
        <w:spacing w:before="0" w:line="360" w:lineRule="auto"/>
        <w:ind w:left="0" w:firstLine="0"/>
      </w:pPr>
    </w:p>
    <w:p w:rsidR="00A86466" w:rsidRPr="00A86466" w:rsidRDefault="00A86466" w:rsidP="00A86466">
      <w:pPr>
        <w:pStyle w:val="TituloPROCANAC"/>
        <w:tabs>
          <w:tab w:val="left" w:pos="709"/>
        </w:tabs>
        <w:spacing w:before="0" w:line="360" w:lineRule="auto"/>
        <w:ind w:left="0" w:firstLine="0"/>
        <w:rPr>
          <w:highlight w:val="white"/>
        </w:rPr>
      </w:pPr>
      <w:r w:rsidRPr="00A86466">
        <w:t>14.</w:t>
      </w:r>
      <w:r w:rsidRPr="00A86466">
        <w:tab/>
        <w:t xml:space="preserve">Nos casos em que se pretende o pagamento de taxa de inscrição (e o custeio de diárias e/ou passagens), deverá o interessado preencher o </w:t>
      </w:r>
      <w:r>
        <w:t>formulário</w:t>
      </w:r>
      <w:r w:rsidRPr="00A86466">
        <w:t xml:space="preserve"> </w:t>
      </w:r>
      <w:r>
        <w:t>de solicitação de diárias e passagens</w:t>
      </w:r>
      <w:r w:rsidRPr="00A86466">
        <w:t xml:space="preserve"> (atualmente realizado, </w:t>
      </w:r>
      <w:r>
        <w:t>no IF Sertão-PE</w:t>
      </w:r>
      <w:r w:rsidRPr="00A86466">
        <w:t xml:space="preserve">, através de </w:t>
      </w:r>
      <w:r>
        <w:t>modelo disponível no sítio oficial do IF, na Seção da Diretoria de Gestão de Pessoas</w:t>
      </w:r>
      <w:r>
        <w:rPr>
          <w:rStyle w:val="Refdenotaderodap"/>
        </w:rPr>
        <w:footnoteReference w:id="2"/>
      </w:r>
      <w:r w:rsidRPr="00A86466">
        <w:t>), inclusive justificando se sua viagem será feita em final de semana ou feriado, bem assim o eventual não atendimento do prazo de 1</w:t>
      </w:r>
      <w:r w:rsidR="000B77DD">
        <w:t>5</w:t>
      </w:r>
      <w:r w:rsidRPr="00A86466">
        <w:t xml:space="preserve"> dias de antecedência para a solicitação de diárias</w:t>
      </w:r>
      <w:r w:rsidR="000B77DD">
        <w:t xml:space="preserve"> e passagens</w:t>
      </w:r>
      <w:r w:rsidRPr="00A86466">
        <w:t xml:space="preserve">. </w:t>
      </w:r>
      <w:r w:rsidRPr="009E6190">
        <w:rPr>
          <w:b/>
          <w:u w:val="single"/>
        </w:rPr>
        <w:t xml:space="preserve">É igualmente imprescindível que </w:t>
      </w:r>
      <w:r w:rsidRPr="009E6190">
        <w:rPr>
          <w:b/>
          <w:u w:val="single"/>
        </w:rPr>
        <w:lastRenderedPageBreak/>
        <w:t>haja a expressa anuência do superior hierárquico do servidor, na medida em que se atestará que o seu deslocamento é oportuno e conveniente para o serviço, não atrapalhando também o funcionamento da repartição</w:t>
      </w:r>
      <w:r w:rsidR="009E6190" w:rsidRPr="009E6190">
        <w:rPr>
          <w:b/>
          <w:u w:val="single"/>
        </w:rPr>
        <w:t>, como explicitado abaixo.</w:t>
      </w:r>
    </w:p>
    <w:p w:rsidR="00A86466" w:rsidRDefault="00A86466">
      <w:pPr>
        <w:pStyle w:val="TituloPROCANAC"/>
        <w:tabs>
          <w:tab w:val="left" w:pos="709"/>
        </w:tabs>
        <w:spacing w:before="0" w:line="360" w:lineRule="auto"/>
        <w:ind w:left="0" w:firstLine="0"/>
        <w:rPr>
          <w:highlight w:val="white"/>
        </w:rPr>
      </w:pPr>
    </w:p>
    <w:p w:rsidR="00DF4F4F" w:rsidRDefault="00FC1498">
      <w:pPr>
        <w:pStyle w:val="TituloPROCANAC"/>
        <w:tabs>
          <w:tab w:val="left" w:pos="709"/>
        </w:tabs>
        <w:spacing w:before="0" w:line="360" w:lineRule="auto"/>
        <w:ind w:left="0" w:firstLine="0"/>
      </w:pPr>
      <w:r>
        <w:rPr>
          <w:highlight w:val="white"/>
        </w:rPr>
        <w:t>1</w:t>
      </w:r>
      <w:r w:rsidR="00A86466">
        <w:rPr>
          <w:highlight w:val="white"/>
        </w:rPr>
        <w:t>5</w:t>
      </w:r>
      <w:r w:rsidR="00C73FAC">
        <w:rPr>
          <w:highlight w:val="white"/>
        </w:rPr>
        <w:t>.</w:t>
      </w:r>
      <w:r w:rsidR="00C73FAC">
        <w:rPr>
          <w:highlight w:val="white"/>
        </w:rPr>
        <w:tab/>
      </w:r>
      <w:r w:rsidR="008B6110">
        <w:rPr>
          <w:b/>
          <w:highlight w:val="white"/>
          <w:u w:val="single"/>
        </w:rPr>
        <w:t>Para tanto</w:t>
      </w:r>
      <w:r w:rsidR="00C73FAC">
        <w:rPr>
          <w:b/>
          <w:highlight w:val="white"/>
          <w:u w:val="single"/>
        </w:rPr>
        <w:t>, deve-se sempre analisar no caso concreto se o momento da capacitação é o mais oportuno para a entidade</w:t>
      </w:r>
      <w:r w:rsidR="00C73FAC">
        <w:rPr>
          <w:highlight w:val="white"/>
        </w:rPr>
        <w:t xml:space="preserve">. Ou seja, se o afastamento do(s) </w:t>
      </w:r>
      <w:proofErr w:type="gramStart"/>
      <w:r w:rsidR="00C73FAC">
        <w:rPr>
          <w:highlight w:val="white"/>
        </w:rPr>
        <w:t>servidor(</w:t>
      </w:r>
      <w:proofErr w:type="gramEnd"/>
      <w:r w:rsidR="00C73FAC">
        <w:rPr>
          <w:highlight w:val="white"/>
        </w:rPr>
        <w:t>es) não causará prejuízos ao serviço público; bem como se a entidade possui recursos para custear as despesas da capacitação.</w:t>
      </w:r>
    </w:p>
    <w:p w:rsidR="00FC1498" w:rsidRDefault="00FC1498">
      <w:pPr>
        <w:pStyle w:val="TituloPROCANAC"/>
        <w:tabs>
          <w:tab w:val="left" w:pos="709"/>
        </w:tabs>
        <w:spacing w:before="0" w:line="360" w:lineRule="auto"/>
        <w:ind w:left="0" w:firstLine="0"/>
      </w:pPr>
    </w:p>
    <w:p w:rsidR="00DF4F4F" w:rsidRDefault="00FC1498">
      <w:pPr>
        <w:pStyle w:val="TituloPROCANAC"/>
        <w:tabs>
          <w:tab w:val="left" w:pos="709"/>
        </w:tabs>
        <w:spacing w:before="0" w:line="360" w:lineRule="auto"/>
        <w:ind w:left="0" w:firstLine="0"/>
      </w:pPr>
      <w:r>
        <w:t>1</w:t>
      </w:r>
      <w:r w:rsidR="005E142B">
        <w:t>6</w:t>
      </w:r>
      <w:r w:rsidR="00C73FAC">
        <w:t>.</w:t>
      </w:r>
      <w:r w:rsidR="00C73FAC">
        <w:tab/>
        <w:t xml:space="preserve">Outro ponto indispensável </w:t>
      </w:r>
      <w:r w:rsidR="00C73FAC">
        <w:rPr>
          <w:b/>
          <w:u w:val="single"/>
        </w:rPr>
        <w:t xml:space="preserve">a ser sempre analisado diz respeito ao conteúdo dos eventos de capacitação, verificando se os mesmos contribuem para o desenvolvimento do(s) </w:t>
      </w:r>
      <w:proofErr w:type="gramStart"/>
      <w:r w:rsidR="00C73FAC">
        <w:rPr>
          <w:b/>
          <w:u w:val="single"/>
        </w:rPr>
        <w:t>servidor(</w:t>
      </w:r>
      <w:proofErr w:type="gramEnd"/>
      <w:r w:rsidR="00C73FAC">
        <w:rPr>
          <w:b/>
          <w:u w:val="single"/>
        </w:rPr>
        <w:t>es) e se atendem aos interesses da autarquia</w:t>
      </w:r>
      <w:r w:rsidR="00C73FAC">
        <w:t>.</w:t>
      </w:r>
    </w:p>
    <w:p w:rsidR="00DF4F4F" w:rsidRDefault="00DF4F4F">
      <w:pPr>
        <w:pStyle w:val="TituloPROCANAC"/>
        <w:spacing w:before="0" w:line="360" w:lineRule="auto"/>
        <w:ind w:left="0" w:firstLine="0"/>
        <w:rPr>
          <w:color w:val="000000"/>
          <w:highlight w:val="yellow"/>
        </w:rPr>
      </w:pPr>
    </w:p>
    <w:p w:rsidR="005E142B" w:rsidRDefault="005E142B" w:rsidP="005E142B">
      <w:pPr>
        <w:pStyle w:val="TituloPROCANAC"/>
        <w:tabs>
          <w:tab w:val="left" w:pos="709"/>
        </w:tabs>
        <w:spacing w:before="0" w:line="360" w:lineRule="auto"/>
        <w:ind w:left="0" w:firstLine="0"/>
      </w:pPr>
      <w:r>
        <w:t>17.</w:t>
      </w:r>
      <w:r>
        <w:tab/>
        <w:t xml:space="preserve">Sobre isso, tratando-se de parecer referencial, o solicitante deverá acostar aos autos declaração de sua chefia imediata com as afirmações citadas no item anterior, nos termos do modelo </w:t>
      </w:r>
      <w:r w:rsidR="00243290">
        <w:t>– Anexo II.</w:t>
      </w:r>
    </w:p>
    <w:p w:rsidR="005E142B" w:rsidRDefault="005E142B" w:rsidP="00745F11">
      <w:pPr>
        <w:pStyle w:val="TituloPROCANAC"/>
        <w:tabs>
          <w:tab w:val="left" w:pos="709"/>
        </w:tabs>
        <w:spacing w:before="0" w:line="360" w:lineRule="auto"/>
        <w:ind w:left="0" w:firstLine="0"/>
        <w:rPr>
          <w:color w:val="000000"/>
          <w:highlight w:val="white"/>
        </w:rPr>
      </w:pPr>
    </w:p>
    <w:p w:rsidR="00DF4F4F" w:rsidRDefault="00FC1498" w:rsidP="00745F11">
      <w:pPr>
        <w:pStyle w:val="TituloPROCANAC"/>
        <w:tabs>
          <w:tab w:val="left" w:pos="709"/>
        </w:tabs>
        <w:spacing w:before="0" w:line="360" w:lineRule="auto"/>
        <w:ind w:left="0" w:firstLine="0"/>
      </w:pPr>
      <w:r w:rsidRPr="005327D1">
        <w:rPr>
          <w:color w:val="000000"/>
        </w:rPr>
        <w:t>1</w:t>
      </w:r>
      <w:r w:rsidR="00A86466" w:rsidRPr="005327D1">
        <w:rPr>
          <w:color w:val="000000"/>
        </w:rPr>
        <w:t>8</w:t>
      </w:r>
      <w:r w:rsidR="00C73FAC" w:rsidRPr="005327D1">
        <w:rPr>
          <w:color w:val="000000"/>
        </w:rPr>
        <w:t>.</w:t>
      </w:r>
      <w:r w:rsidR="00C73FAC" w:rsidRPr="005327D1">
        <w:rPr>
          <w:color w:val="000000"/>
        </w:rPr>
        <w:tab/>
      </w:r>
      <w:r w:rsidR="007E549A" w:rsidRPr="005327D1">
        <w:rPr>
          <w:b/>
        </w:rPr>
        <w:t xml:space="preserve">No presente caso, verifica-se que </w:t>
      </w:r>
      <w:r w:rsidR="00CE0262">
        <w:rPr>
          <w:b/>
        </w:rPr>
        <w:t>apenas a</w:t>
      </w:r>
      <w:r w:rsidR="007E549A" w:rsidRPr="005327D1">
        <w:rPr>
          <w:b/>
        </w:rPr>
        <w:t xml:space="preserve"> chefia imediata d</w:t>
      </w:r>
      <w:r w:rsidR="00CE0262">
        <w:rPr>
          <w:b/>
        </w:rPr>
        <w:t>a</w:t>
      </w:r>
      <w:r w:rsidR="007E549A" w:rsidRPr="005327D1">
        <w:rPr>
          <w:b/>
        </w:rPr>
        <w:t xml:space="preserve"> servidor</w:t>
      </w:r>
      <w:r w:rsidR="00CE0262">
        <w:rPr>
          <w:b/>
        </w:rPr>
        <w:t>a</w:t>
      </w:r>
      <w:r w:rsidR="0062204E" w:rsidRPr="005327D1">
        <w:rPr>
          <w:b/>
        </w:rPr>
        <w:t xml:space="preserve"> </w:t>
      </w:r>
      <w:proofErr w:type="spellStart"/>
      <w:r w:rsidR="00473719">
        <w:rPr>
          <w:b/>
        </w:rPr>
        <w:t>Tatiane</w:t>
      </w:r>
      <w:proofErr w:type="spellEnd"/>
      <w:r w:rsidR="00473719">
        <w:rPr>
          <w:b/>
        </w:rPr>
        <w:t xml:space="preserve"> </w:t>
      </w:r>
      <w:proofErr w:type="spellStart"/>
      <w:r w:rsidR="00473719">
        <w:rPr>
          <w:b/>
        </w:rPr>
        <w:t>Grasielle</w:t>
      </w:r>
      <w:proofErr w:type="spellEnd"/>
      <w:r w:rsidR="007E549A" w:rsidRPr="005327D1">
        <w:rPr>
          <w:b/>
        </w:rPr>
        <w:t xml:space="preserve"> consignou à fl. </w:t>
      </w:r>
      <w:r w:rsidR="00473719">
        <w:rPr>
          <w:b/>
        </w:rPr>
        <w:t>01</w:t>
      </w:r>
      <w:r w:rsidR="007E549A" w:rsidRPr="005327D1">
        <w:rPr>
          <w:b/>
        </w:rPr>
        <w:t xml:space="preserve"> que </w:t>
      </w:r>
      <w:r w:rsidR="00973D23" w:rsidRPr="005327D1">
        <w:rPr>
          <w:b/>
        </w:rPr>
        <w:t>o afastamento não causará prejuízos ao serviço p</w:t>
      </w:r>
      <w:r w:rsidR="00A81E24" w:rsidRPr="005327D1">
        <w:rPr>
          <w:b/>
        </w:rPr>
        <w:t xml:space="preserve">úblico </w:t>
      </w:r>
      <w:r w:rsidR="00EE566D" w:rsidRPr="005327D1">
        <w:rPr>
          <w:b/>
        </w:rPr>
        <w:t xml:space="preserve">e que o </w:t>
      </w:r>
      <w:r w:rsidR="00F579EF" w:rsidRPr="005327D1">
        <w:rPr>
          <w:b/>
        </w:rPr>
        <w:t xml:space="preserve">conteúdo </w:t>
      </w:r>
      <w:r w:rsidR="00EE566D" w:rsidRPr="005327D1">
        <w:rPr>
          <w:b/>
        </w:rPr>
        <w:t xml:space="preserve">do evento de capacitação contribui para o desenvolvimento do servidor e atende aos interesses da Instituição; </w:t>
      </w:r>
      <w:r w:rsidR="00745F11" w:rsidRPr="005327D1">
        <w:rPr>
          <w:b/>
        </w:rPr>
        <w:t xml:space="preserve">manifestando-se </w:t>
      </w:r>
      <w:r w:rsidR="00473719">
        <w:rPr>
          <w:b/>
        </w:rPr>
        <w:t xml:space="preserve">somente </w:t>
      </w:r>
      <w:r w:rsidR="00745F11" w:rsidRPr="005327D1">
        <w:rPr>
          <w:b/>
        </w:rPr>
        <w:t xml:space="preserve">sobre este último ponto também a chefia imediata </w:t>
      </w:r>
      <w:r w:rsidR="00EE566D" w:rsidRPr="005327D1">
        <w:rPr>
          <w:b/>
        </w:rPr>
        <w:t>dos</w:t>
      </w:r>
      <w:r w:rsidR="00473719">
        <w:rPr>
          <w:b/>
        </w:rPr>
        <w:t xml:space="preserve"> demais</w:t>
      </w:r>
      <w:r w:rsidR="00EE566D" w:rsidRPr="005327D1">
        <w:rPr>
          <w:b/>
        </w:rPr>
        <w:t xml:space="preserve"> servidores </w:t>
      </w:r>
      <w:r w:rsidR="00473719">
        <w:rPr>
          <w:b/>
        </w:rPr>
        <w:t xml:space="preserve">Jarbas Lopes </w:t>
      </w:r>
      <w:proofErr w:type="spellStart"/>
      <w:r w:rsidR="00473719">
        <w:rPr>
          <w:b/>
        </w:rPr>
        <w:t>Ibrain</w:t>
      </w:r>
      <w:proofErr w:type="spellEnd"/>
      <w:r w:rsidR="00473719">
        <w:rPr>
          <w:b/>
        </w:rPr>
        <w:t xml:space="preserve">, </w:t>
      </w:r>
      <w:proofErr w:type="spellStart"/>
      <w:r w:rsidR="00473719">
        <w:rPr>
          <w:b/>
        </w:rPr>
        <w:t>Clebson</w:t>
      </w:r>
      <w:proofErr w:type="spellEnd"/>
      <w:r w:rsidR="00473719">
        <w:rPr>
          <w:b/>
        </w:rPr>
        <w:t xml:space="preserve"> José, André Rodrigues, </w:t>
      </w:r>
      <w:proofErr w:type="spellStart"/>
      <w:r w:rsidR="00473719">
        <w:rPr>
          <w:b/>
        </w:rPr>
        <w:t>Deyvid</w:t>
      </w:r>
      <w:proofErr w:type="spellEnd"/>
      <w:r w:rsidR="00473719">
        <w:rPr>
          <w:b/>
        </w:rPr>
        <w:t xml:space="preserve"> </w:t>
      </w:r>
      <w:proofErr w:type="spellStart"/>
      <w:r w:rsidR="00473719">
        <w:rPr>
          <w:b/>
        </w:rPr>
        <w:t>Wilkerson</w:t>
      </w:r>
      <w:proofErr w:type="spellEnd"/>
      <w:r w:rsidR="00473719">
        <w:rPr>
          <w:b/>
        </w:rPr>
        <w:t xml:space="preserve"> de Souza, Francisco Manoel Xavier, Marcelo Fernandes Vieira Abreu</w:t>
      </w:r>
      <w:r w:rsidR="00EE566D" w:rsidRPr="005327D1">
        <w:rPr>
          <w:b/>
        </w:rPr>
        <w:t xml:space="preserve"> e </w:t>
      </w:r>
      <w:r w:rsidR="00473719">
        <w:rPr>
          <w:b/>
        </w:rPr>
        <w:t>Wellington Santos Nunes</w:t>
      </w:r>
      <w:r w:rsidR="00EE566D" w:rsidRPr="005327D1">
        <w:rPr>
          <w:b/>
        </w:rPr>
        <w:t xml:space="preserve">. </w:t>
      </w:r>
      <w:r w:rsidR="003459F8" w:rsidRPr="005327D1">
        <w:rPr>
          <w:b/>
          <w:u w:val="single"/>
        </w:rPr>
        <w:t>No entanto,</w:t>
      </w:r>
      <w:r w:rsidR="003459F8" w:rsidRPr="005327D1">
        <w:rPr>
          <w:u w:val="single"/>
        </w:rPr>
        <w:t xml:space="preserve"> </w:t>
      </w:r>
      <w:r w:rsidR="00F54FE7" w:rsidRPr="005327D1">
        <w:rPr>
          <w:b/>
          <w:color w:val="000000"/>
          <w:u w:val="single"/>
        </w:rPr>
        <w:t xml:space="preserve">entende esta Procuradoria que, para garantir a completa instrução processual, faz-se necessário o pronunciamento da chefia imediata </w:t>
      </w:r>
      <w:r w:rsidR="00745F11" w:rsidRPr="005327D1">
        <w:rPr>
          <w:b/>
          <w:u w:val="single"/>
        </w:rPr>
        <w:t>d</w:t>
      </w:r>
      <w:r w:rsidR="00473719">
        <w:rPr>
          <w:b/>
          <w:u w:val="single"/>
        </w:rPr>
        <w:t>estes</w:t>
      </w:r>
      <w:r w:rsidR="00745F11" w:rsidRPr="005327D1">
        <w:rPr>
          <w:b/>
          <w:u w:val="single"/>
        </w:rPr>
        <w:t xml:space="preserve"> servidores </w:t>
      </w:r>
      <w:r w:rsidR="00745F11" w:rsidRPr="005327D1">
        <w:rPr>
          <w:b/>
          <w:color w:val="000000"/>
          <w:u w:val="single"/>
        </w:rPr>
        <w:t xml:space="preserve">também </w:t>
      </w:r>
      <w:r w:rsidR="00F54FE7" w:rsidRPr="005327D1">
        <w:rPr>
          <w:b/>
          <w:color w:val="000000"/>
          <w:u w:val="single"/>
        </w:rPr>
        <w:t>acerca da quest</w:t>
      </w:r>
      <w:r w:rsidR="00752ADA" w:rsidRPr="005327D1">
        <w:rPr>
          <w:b/>
          <w:color w:val="000000"/>
          <w:u w:val="single"/>
        </w:rPr>
        <w:t>ão</w:t>
      </w:r>
      <w:r w:rsidR="00F54FE7" w:rsidRPr="005327D1">
        <w:rPr>
          <w:b/>
          <w:color w:val="000000"/>
          <w:u w:val="single"/>
        </w:rPr>
        <w:t xml:space="preserve"> identificada no </w:t>
      </w:r>
      <w:r w:rsidR="00752ADA" w:rsidRPr="002B61C8">
        <w:rPr>
          <w:b/>
          <w:color w:val="000000"/>
          <w:u w:val="single"/>
        </w:rPr>
        <w:t>item “</w:t>
      </w:r>
      <w:r w:rsidR="00473719" w:rsidRPr="002B61C8">
        <w:rPr>
          <w:b/>
          <w:color w:val="000000"/>
          <w:u w:val="single"/>
        </w:rPr>
        <w:t>15</w:t>
      </w:r>
      <w:r w:rsidR="00752ADA" w:rsidRPr="002B61C8">
        <w:rPr>
          <w:b/>
          <w:color w:val="000000"/>
          <w:u w:val="single"/>
        </w:rPr>
        <w:t>”</w:t>
      </w:r>
      <w:r w:rsidR="00752ADA" w:rsidRPr="005327D1">
        <w:rPr>
          <w:b/>
          <w:color w:val="000000"/>
          <w:u w:val="single"/>
        </w:rPr>
        <w:t xml:space="preserve"> deste Parecer</w:t>
      </w:r>
      <w:r w:rsidR="00F54FE7" w:rsidRPr="005327D1">
        <w:rPr>
          <w:b/>
          <w:color w:val="000000"/>
          <w:u w:val="single"/>
        </w:rPr>
        <w:t>,</w:t>
      </w:r>
      <w:r w:rsidR="00752ADA" w:rsidRPr="005327D1">
        <w:rPr>
          <w:b/>
          <w:color w:val="000000"/>
          <w:u w:val="single"/>
        </w:rPr>
        <w:t xml:space="preserve"> qual seja</w:t>
      </w:r>
      <w:r w:rsidR="00F54FE7" w:rsidRPr="005327D1">
        <w:rPr>
          <w:b/>
          <w:color w:val="000000"/>
          <w:u w:val="single"/>
        </w:rPr>
        <w:t xml:space="preserve">, </w:t>
      </w:r>
      <w:r w:rsidR="00F54FE7" w:rsidRPr="005327D1">
        <w:rPr>
          <w:b/>
          <w:u w:val="single"/>
        </w:rPr>
        <w:t>se o momento da capacitação é o mais oportuno para a entidade</w:t>
      </w:r>
      <w:r w:rsidR="00C97E87" w:rsidRPr="005327D1">
        <w:rPr>
          <w:b/>
          <w:u w:val="single"/>
        </w:rPr>
        <w:t xml:space="preserve">, </w:t>
      </w:r>
      <w:r w:rsidR="00752ADA" w:rsidRPr="005327D1">
        <w:rPr>
          <w:b/>
          <w:u w:val="single"/>
        </w:rPr>
        <w:t>no sentido de o afastamento não causar prejuízos ao serviço público</w:t>
      </w:r>
      <w:r w:rsidR="00FB3052">
        <w:rPr>
          <w:b/>
          <w:u w:val="single"/>
        </w:rPr>
        <w:t>, conforme modelo do Anexo II</w:t>
      </w:r>
      <w:r w:rsidR="00104F35" w:rsidRPr="005327D1">
        <w:rPr>
          <w:b/>
          <w:u w:val="single"/>
        </w:rPr>
        <w:t>.</w:t>
      </w:r>
    </w:p>
    <w:p w:rsidR="00DF4F4F" w:rsidRDefault="00DF4F4F">
      <w:pPr>
        <w:pStyle w:val="TituloPROCANAC"/>
        <w:tabs>
          <w:tab w:val="left" w:pos="709"/>
        </w:tabs>
        <w:spacing w:before="0" w:line="360" w:lineRule="auto"/>
        <w:ind w:left="0" w:firstLine="0"/>
        <w:rPr>
          <w:color w:val="000000"/>
        </w:rPr>
      </w:pPr>
    </w:p>
    <w:p w:rsidR="00DF4F4F" w:rsidRPr="005327D1" w:rsidRDefault="00FE0F87">
      <w:pPr>
        <w:pStyle w:val="TituloPROCANAC"/>
        <w:tabs>
          <w:tab w:val="left" w:pos="709"/>
        </w:tabs>
        <w:spacing w:before="0" w:line="360" w:lineRule="auto"/>
        <w:ind w:left="0" w:firstLine="0"/>
        <w:rPr>
          <w:highlight w:val="yellow"/>
        </w:rPr>
      </w:pPr>
      <w:r w:rsidRPr="001440ED">
        <w:rPr>
          <w:color w:val="000000"/>
        </w:rPr>
        <w:lastRenderedPageBreak/>
        <w:t>19</w:t>
      </w:r>
      <w:r w:rsidR="00C73FAC" w:rsidRPr="001440ED">
        <w:rPr>
          <w:color w:val="000000"/>
        </w:rPr>
        <w:t>.</w:t>
      </w:r>
      <w:r w:rsidR="00C73FAC" w:rsidRPr="001440ED">
        <w:rPr>
          <w:color w:val="000000"/>
        </w:rPr>
        <w:tab/>
      </w:r>
      <w:r w:rsidR="00C73FAC" w:rsidRPr="001440ED">
        <w:rPr>
          <w:b/>
          <w:color w:val="000000"/>
        </w:rPr>
        <w:t>Ainda quanto ao aspecto do conteúdo, vale lembrar que a Portaria Normativa n.º 1, de 27 de março de 2012, que regulamenta as normas e procedimentos para participação dos servidores do IF-Sertão-PE em eventos de capacitação, prevê em seu art. 30 que “</w:t>
      </w:r>
      <w:r w:rsidR="00C73FAC" w:rsidRPr="001440ED">
        <w:rPr>
          <w:b/>
          <w:i/>
          <w:color w:val="000000"/>
          <w:u w:val="single"/>
        </w:rPr>
        <w:t>Não serão autorizadas participações em eventos externos: I – cujos conteúdos sejam contemplados em programações internas previstas no Plano de Capacitação do IF-SERTÃO-PE</w:t>
      </w:r>
      <w:r w:rsidR="00C73FAC" w:rsidRPr="001440ED">
        <w:rPr>
          <w:b/>
          <w:color w:val="000000"/>
        </w:rPr>
        <w:t>”</w:t>
      </w:r>
      <w:r w:rsidR="00C73FAC" w:rsidRPr="001440ED">
        <w:rPr>
          <w:color w:val="000000"/>
        </w:rPr>
        <w:t>.</w:t>
      </w:r>
    </w:p>
    <w:p w:rsidR="00DF4F4F" w:rsidRPr="005327D1" w:rsidRDefault="00DF4F4F">
      <w:pPr>
        <w:pStyle w:val="TituloPROCANAC"/>
        <w:tabs>
          <w:tab w:val="left" w:pos="709"/>
        </w:tabs>
        <w:spacing w:before="0" w:line="360" w:lineRule="auto"/>
        <w:ind w:left="0" w:firstLine="0"/>
        <w:rPr>
          <w:color w:val="000000"/>
          <w:highlight w:val="yellow"/>
        </w:rPr>
      </w:pPr>
    </w:p>
    <w:p w:rsidR="00BC5FA5" w:rsidRDefault="00FE0F87">
      <w:pPr>
        <w:pStyle w:val="TituloPROCANAC"/>
        <w:tabs>
          <w:tab w:val="left" w:pos="709"/>
        </w:tabs>
        <w:spacing w:before="0" w:line="360" w:lineRule="auto"/>
        <w:ind w:left="0" w:firstLine="0"/>
        <w:rPr>
          <w:color w:val="000000"/>
          <w:highlight w:val="yellow"/>
        </w:rPr>
      </w:pPr>
      <w:r w:rsidRPr="008D4E85">
        <w:rPr>
          <w:b/>
          <w:color w:val="000000"/>
        </w:rPr>
        <w:t>20</w:t>
      </w:r>
      <w:r w:rsidR="00C73FAC" w:rsidRPr="008D4E85">
        <w:rPr>
          <w:b/>
          <w:color w:val="000000"/>
        </w:rPr>
        <w:t>.</w:t>
      </w:r>
      <w:r w:rsidR="001E1DAB" w:rsidRPr="008D4E85">
        <w:rPr>
          <w:b/>
          <w:color w:val="000000"/>
        </w:rPr>
        <w:tab/>
      </w:r>
      <w:r w:rsidR="00BC5FA5" w:rsidRPr="008D4E85">
        <w:rPr>
          <w:b/>
          <w:color w:val="000000"/>
        </w:rPr>
        <w:t xml:space="preserve">Para isto, o(s) </w:t>
      </w:r>
      <w:proofErr w:type="gramStart"/>
      <w:r w:rsidR="00BC5FA5" w:rsidRPr="008D4E85">
        <w:rPr>
          <w:b/>
          <w:color w:val="000000"/>
        </w:rPr>
        <w:t>servidor(</w:t>
      </w:r>
      <w:proofErr w:type="gramEnd"/>
      <w:r w:rsidR="00BC5FA5" w:rsidRPr="008D4E85">
        <w:rPr>
          <w:b/>
          <w:color w:val="000000"/>
        </w:rPr>
        <w:t>es) solicitante(s) deverão comprovar nos autos que o evento de capacitação não está contemplado nas programações internas previstas no Plano de Capacitação do IF Sertão-PE vigente à época do requerimento. No caso dos autos, não há documento ou declaração hábil a cumprir este requisito,</w:t>
      </w:r>
      <w:r w:rsidR="00BC5FA5" w:rsidRPr="008D4E85">
        <w:rPr>
          <w:color w:val="000000"/>
        </w:rPr>
        <w:t xml:space="preserve"> </w:t>
      </w:r>
      <w:r w:rsidR="00BC5FA5" w:rsidRPr="008D4E85">
        <w:rPr>
          <w:b/>
          <w:color w:val="000000"/>
          <w:u w:val="single"/>
        </w:rPr>
        <w:t>omissão que deve ser sanada</w:t>
      </w:r>
      <w:r w:rsidR="00BC5FA5" w:rsidRPr="008D4E85">
        <w:rPr>
          <w:color w:val="000000"/>
        </w:rPr>
        <w:t>.</w:t>
      </w:r>
    </w:p>
    <w:p w:rsidR="00BC5FA5" w:rsidRDefault="00BC5FA5">
      <w:pPr>
        <w:pStyle w:val="TituloPROCANAC"/>
        <w:tabs>
          <w:tab w:val="left" w:pos="709"/>
        </w:tabs>
        <w:spacing w:before="0" w:line="360" w:lineRule="auto"/>
        <w:ind w:left="0" w:firstLine="0"/>
        <w:rPr>
          <w:color w:val="000000"/>
          <w:highlight w:val="yellow"/>
        </w:rPr>
      </w:pPr>
    </w:p>
    <w:p w:rsidR="005327D1" w:rsidRPr="005327D1" w:rsidRDefault="00FE0F87">
      <w:pPr>
        <w:pStyle w:val="TituloPROCANAC"/>
        <w:tabs>
          <w:tab w:val="left" w:pos="709"/>
        </w:tabs>
        <w:spacing w:before="0" w:line="360" w:lineRule="auto"/>
        <w:ind w:left="0" w:firstLine="0"/>
      </w:pPr>
      <w:r>
        <w:t>21</w:t>
      </w:r>
      <w:r w:rsidR="005327D1" w:rsidRPr="005327D1">
        <w:t>.</w:t>
      </w:r>
      <w:r w:rsidR="005327D1" w:rsidRPr="005327D1">
        <w:tab/>
        <w:t xml:space="preserve">O feito também deverá ser instruído com </w:t>
      </w:r>
      <w:r w:rsidR="00243290">
        <w:t xml:space="preserve">as </w:t>
      </w:r>
      <w:r w:rsidR="005327D1" w:rsidRPr="005327D1">
        <w:t xml:space="preserve">informações sobre o evento e o valor da inscrição, além de termo de referência </w:t>
      </w:r>
      <w:r w:rsidR="00243290" w:rsidRPr="00243290">
        <w:t>(Anexo III</w:t>
      </w:r>
      <w:r w:rsidRPr="00243290">
        <w:t>)</w:t>
      </w:r>
      <w:r>
        <w:t xml:space="preserve"> </w:t>
      </w:r>
      <w:r w:rsidR="005327D1" w:rsidRPr="005327D1">
        <w:t xml:space="preserve">e demais documentos citados ao longo deste parecer referencial. Não é demais lembrar que, para além do que se mencionará nesta manifestação, o TR deverá conter as condições de pagamento (em regra, de até </w:t>
      </w:r>
      <w:r>
        <w:t>0</w:t>
      </w:r>
      <w:r w:rsidR="005327D1" w:rsidRPr="005327D1">
        <w:t xml:space="preserve">5 dias úteis </w:t>
      </w:r>
      <w:r w:rsidR="005327D1" w:rsidRPr="00FE0F87">
        <w:rPr>
          <w:b/>
        </w:rPr>
        <w:t>se a contratação não superar os R$ 8 mil</w:t>
      </w:r>
      <w:r w:rsidR="005327D1" w:rsidRPr="005327D1">
        <w:t xml:space="preserve">), as responsabilidades das partes, as sanções incidentes, os valores a serem </w:t>
      </w:r>
      <w:proofErr w:type="gramStart"/>
      <w:r w:rsidR="005327D1" w:rsidRPr="005327D1">
        <w:t>despendidos, a forma de execução e a fundamentação legal</w:t>
      </w:r>
      <w:proofErr w:type="gramEnd"/>
      <w:r w:rsidR="005327D1" w:rsidRPr="005327D1">
        <w:t>.</w:t>
      </w:r>
      <w:r w:rsidR="00EE49F9">
        <w:t xml:space="preserve"> </w:t>
      </w:r>
      <w:r w:rsidR="00EE49F9" w:rsidRPr="00EE49F9">
        <w:rPr>
          <w:b/>
        </w:rPr>
        <w:t>No caso em tela, o Termo de Referência foi juntado às fls. 34/42.</w:t>
      </w:r>
    </w:p>
    <w:p w:rsidR="00DF4F4F" w:rsidRDefault="00DF4F4F">
      <w:pPr>
        <w:pStyle w:val="TituloPROCANAC"/>
        <w:tabs>
          <w:tab w:val="left" w:pos="709"/>
        </w:tabs>
        <w:spacing w:before="0" w:line="360" w:lineRule="auto"/>
        <w:ind w:left="0" w:firstLine="0"/>
        <w:rPr>
          <w:b/>
          <w:highlight w:val="yellow"/>
        </w:rPr>
      </w:pPr>
    </w:p>
    <w:p w:rsidR="00DF4F4F" w:rsidRDefault="00C73FAC">
      <w:pPr>
        <w:pStyle w:val="NormalWeb"/>
        <w:spacing w:before="0" w:after="0" w:line="360" w:lineRule="auto"/>
        <w:jc w:val="both"/>
        <w:rPr>
          <w:b/>
          <w:bCs/>
        </w:rPr>
      </w:pPr>
      <w:r>
        <w:rPr>
          <w:b/>
          <w:bCs/>
        </w:rPr>
        <w:t>DA POSSIBILIDADE DE CONTRATAÇÃO DIRETA</w:t>
      </w:r>
    </w:p>
    <w:p w:rsidR="00DF4F4F" w:rsidRDefault="00DF4F4F">
      <w:pPr>
        <w:pStyle w:val="NormalWeb"/>
        <w:spacing w:before="0" w:after="0" w:line="360" w:lineRule="auto"/>
        <w:jc w:val="both"/>
      </w:pPr>
    </w:p>
    <w:p w:rsidR="00DF4F4F" w:rsidRDefault="00FE0F87">
      <w:pPr>
        <w:pStyle w:val="NormalWeb"/>
        <w:spacing w:before="0" w:after="0" w:line="360" w:lineRule="auto"/>
        <w:jc w:val="both"/>
      </w:pPr>
      <w:r>
        <w:t>22</w:t>
      </w:r>
      <w:r w:rsidR="00C73FAC">
        <w:t>.</w:t>
      </w:r>
      <w:r w:rsidR="00C73FAC">
        <w:tab/>
        <w:t xml:space="preserve">Dentro da sistemática adotada pela Lei n° 8.666/93, há situações em que é utilizada a expressão “licitação dispensada” (art. 17, I e II); em outras, aparece </w:t>
      </w:r>
      <w:proofErr w:type="gramStart"/>
      <w:r w:rsidR="00C73FAC">
        <w:t>a</w:t>
      </w:r>
      <w:proofErr w:type="gramEnd"/>
      <w:r w:rsidR="00C73FAC">
        <w:t xml:space="preserve"> expressão “licitação dispensável” (art. 24); e, finalmente, “licitação inexigível” (art. 25). Essas seriam as possibilidades mencionadas em lei, e de caráter excepcional, em que será possível a contratação direta, isto é, a contratação sem licitação.</w:t>
      </w:r>
      <w:r w:rsidR="00C73FAC">
        <w:rPr>
          <w:rStyle w:val="ncoradanotaderodap"/>
        </w:rPr>
        <w:footnoteReference w:id="3"/>
      </w:r>
    </w:p>
    <w:p w:rsidR="00BC5FA5" w:rsidRDefault="00BC5FA5">
      <w:pPr>
        <w:pStyle w:val="NormalWeb"/>
        <w:spacing w:before="0" w:after="0" w:line="360" w:lineRule="auto"/>
        <w:jc w:val="both"/>
      </w:pPr>
    </w:p>
    <w:p w:rsidR="00DF4F4F" w:rsidRDefault="00BC5FA5">
      <w:pPr>
        <w:pStyle w:val="NormalWeb"/>
        <w:spacing w:before="0" w:after="0" w:line="360" w:lineRule="auto"/>
        <w:jc w:val="both"/>
      </w:pPr>
      <w:r>
        <w:t>23</w:t>
      </w:r>
      <w:r w:rsidR="00C73FAC">
        <w:t>.</w:t>
      </w:r>
      <w:r w:rsidR="00C73FAC">
        <w:tab/>
        <w:t>A diferença básica entre dispensa e inexigibilidade, é de que na primeira há a possibilidade de competição, enquanto na segunda inexiste a possibilidade de competição. Isso</w:t>
      </w:r>
      <w:r>
        <w:t xml:space="preserve"> </w:t>
      </w:r>
      <w:r w:rsidR="00C73FAC">
        <w:t xml:space="preserve">porque só existe um objeto ou uma pessoa que atenda às necessidades da Administração; a licitação é, portanto, </w:t>
      </w:r>
      <w:proofErr w:type="gramStart"/>
      <w:r w:rsidR="00C73FAC">
        <w:t>inviável.</w:t>
      </w:r>
      <w:proofErr w:type="gramEnd"/>
      <w:r w:rsidR="00C73FAC">
        <w:t>”</w:t>
      </w:r>
      <w:r w:rsidR="00C73FAC">
        <w:rPr>
          <w:rStyle w:val="ncoradanotaderodap"/>
        </w:rPr>
        <w:footnoteReference w:id="4"/>
      </w:r>
      <w:r>
        <w:t>.</w:t>
      </w:r>
    </w:p>
    <w:p w:rsidR="00DF4F4F" w:rsidRDefault="00DF4F4F">
      <w:pPr>
        <w:pStyle w:val="NormalWeb"/>
        <w:spacing w:before="0" w:after="0" w:line="360" w:lineRule="auto"/>
        <w:jc w:val="both"/>
      </w:pPr>
    </w:p>
    <w:p w:rsidR="00DF4F4F" w:rsidRDefault="00BC5FA5">
      <w:pPr>
        <w:pStyle w:val="NormalWeb"/>
        <w:spacing w:before="0" w:after="0" w:line="360" w:lineRule="auto"/>
        <w:jc w:val="both"/>
      </w:pPr>
      <w:r>
        <w:t>24</w:t>
      </w:r>
      <w:r w:rsidR="00C73FAC">
        <w:t>.</w:t>
      </w:r>
      <w:r w:rsidR="00C73FAC">
        <w:tab/>
        <w:t xml:space="preserve">No presente caso, entende-se tratar de inexigibilidade, com base no art. 25, II da Lei 8666/93 e conforme Orientação Normativa nº 18/09 da AGU. </w:t>
      </w:r>
    </w:p>
    <w:p w:rsidR="00DF4F4F" w:rsidRDefault="00DF4F4F">
      <w:pPr>
        <w:spacing w:line="360" w:lineRule="auto"/>
        <w:ind w:left="2268"/>
        <w:jc w:val="both"/>
        <w:rPr>
          <w:szCs w:val="24"/>
        </w:rPr>
      </w:pPr>
      <w:bookmarkStart w:id="0" w:name="art25"/>
      <w:bookmarkEnd w:id="0"/>
    </w:p>
    <w:p w:rsidR="00DF4F4F" w:rsidRDefault="00C73FAC">
      <w:pPr>
        <w:spacing w:line="360" w:lineRule="auto"/>
        <w:ind w:left="2268"/>
        <w:jc w:val="both"/>
        <w:rPr>
          <w:i/>
          <w:szCs w:val="24"/>
        </w:rPr>
      </w:pPr>
      <w:r>
        <w:rPr>
          <w:i/>
          <w:szCs w:val="24"/>
        </w:rPr>
        <w:t>Art. 25. É inexigível a licitação quando houver inviabilidade de competição, em especial:</w:t>
      </w:r>
    </w:p>
    <w:p w:rsidR="00DF4F4F" w:rsidRDefault="00C73FAC">
      <w:pPr>
        <w:spacing w:line="360" w:lineRule="auto"/>
        <w:ind w:left="2268"/>
        <w:jc w:val="both"/>
        <w:rPr>
          <w:i/>
          <w:szCs w:val="24"/>
        </w:rPr>
      </w:pPr>
      <w:r>
        <w:rPr>
          <w:i/>
          <w:szCs w:val="24"/>
        </w:rPr>
        <w:t>(...)</w:t>
      </w:r>
    </w:p>
    <w:p w:rsidR="00DF4F4F" w:rsidRDefault="00C73FAC">
      <w:pPr>
        <w:spacing w:line="360" w:lineRule="auto"/>
        <w:ind w:left="2268"/>
        <w:jc w:val="both"/>
        <w:rPr>
          <w:i/>
          <w:szCs w:val="24"/>
        </w:rPr>
      </w:pPr>
      <w:r>
        <w:rPr>
          <w:i/>
          <w:szCs w:val="24"/>
        </w:rPr>
        <w:t>II - para a contratação de serviços técnicos enumerados no art. 13 desta Lei, de natureza singular, com profissionais ou empresas de notória especialização, vedada a inexigibilidade para serviços de publicidade e divulgação;</w:t>
      </w:r>
    </w:p>
    <w:p w:rsidR="00DF4F4F" w:rsidRDefault="00C73FAC">
      <w:pPr>
        <w:spacing w:line="360" w:lineRule="auto"/>
        <w:ind w:left="2268"/>
        <w:jc w:val="both"/>
        <w:rPr>
          <w:i/>
          <w:szCs w:val="24"/>
        </w:rPr>
      </w:pPr>
      <w:r>
        <w:rPr>
          <w:i/>
          <w:szCs w:val="24"/>
        </w:rPr>
        <w:t xml:space="preserve">ORIENTAÇÃO NORMATIVA Nº 18, DE 1º DE ABRIL DE 2009 </w:t>
      </w:r>
      <w:r>
        <w:rPr>
          <w:i/>
          <w:szCs w:val="24"/>
        </w:rPr>
        <w:br/>
      </w:r>
      <w:r>
        <w:rPr>
          <w:i/>
          <w:szCs w:val="24"/>
        </w:rPr>
        <w:br/>
        <w:t xml:space="preserve">O ADVOGADO-GERAL DA UNIÃO,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 </w:t>
      </w:r>
      <w:r>
        <w:rPr>
          <w:i/>
          <w:szCs w:val="24"/>
        </w:rPr>
        <w:br/>
      </w:r>
      <w:r>
        <w:rPr>
          <w:i/>
          <w:szCs w:val="24"/>
        </w:rPr>
        <w:br/>
        <w:t xml:space="preserve">CONTRATA-SE POR INEXIGIBILIDADE DE LICITAÇÃO COM FUNDAMENTO NO ART. 25, INC. II, DA LEI N° 8.666, DE 1993, CONFERENCISTAS PARA MINISTRAR CURSOS PARA </w:t>
      </w:r>
      <w:r>
        <w:rPr>
          <w:i/>
          <w:szCs w:val="24"/>
        </w:rPr>
        <w:lastRenderedPageBreak/>
        <w:t>TREINAMENTO E APERFEIÇOAMENTO DE PESSOAL, OU A INSCRIÇÃO EM CURSOS ABERTOS, DESDE QUE CARACTERIZADA A SINGULARIDADE DO OBJETO E VER</w:t>
      </w:r>
      <w:r w:rsidR="00083EBF">
        <w:rPr>
          <w:i/>
          <w:szCs w:val="24"/>
        </w:rPr>
        <w:t xml:space="preserve">IFICADO TRATAR-SE DE NOTÓRIO </w:t>
      </w:r>
      <w:r>
        <w:rPr>
          <w:i/>
          <w:szCs w:val="24"/>
        </w:rPr>
        <w:t xml:space="preserve">ESPECIALISTA. </w:t>
      </w:r>
      <w:r>
        <w:rPr>
          <w:i/>
          <w:szCs w:val="24"/>
        </w:rPr>
        <w:br/>
      </w:r>
      <w:r>
        <w:rPr>
          <w:i/>
          <w:szCs w:val="24"/>
        </w:rPr>
        <w:br/>
        <w:t xml:space="preserve">INDEXAÇÃO: CONTRATAÇÃO. PROFESSOR. CONFERENCISTA. INSTRUTOR. TREINAMENTO. APERFEIÇOAMENTO. CURSO ABERTO. INEXIGIBILIDADE. SINGULARIDADE. NOTÓRIO ESPECIALISTA. </w:t>
      </w:r>
      <w:r>
        <w:rPr>
          <w:i/>
          <w:szCs w:val="24"/>
        </w:rPr>
        <w:br/>
      </w:r>
      <w:r>
        <w:rPr>
          <w:i/>
          <w:szCs w:val="24"/>
        </w:rPr>
        <w:br/>
        <w:t xml:space="preserve">REFERÊNCIA: art. 25, inc. II, da Lei 8.666, DE 1993; Decisões TCU 535/1996-Plenário e 439/1998-Plenário. </w:t>
      </w:r>
      <w:r>
        <w:rPr>
          <w:i/>
          <w:szCs w:val="24"/>
        </w:rPr>
        <w:br/>
      </w:r>
      <w:r>
        <w:rPr>
          <w:i/>
          <w:szCs w:val="24"/>
        </w:rPr>
        <w:br/>
        <w:t xml:space="preserve">JOSÉ ANTONIO DIAS TOFFOLI </w:t>
      </w:r>
    </w:p>
    <w:p w:rsidR="00DF4F4F" w:rsidRDefault="00DF4F4F">
      <w:pPr>
        <w:pStyle w:val="TituloPROCANAC"/>
        <w:spacing w:before="0" w:line="360" w:lineRule="auto"/>
        <w:ind w:left="0" w:firstLine="0"/>
      </w:pPr>
    </w:p>
    <w:p w:rsidR="00DF4F4F" w:rsidRDefault="00A2436E">
      <w:pPr>
        <w:pStyle w:val="TituloPROCANAC"/>
        <w:tabs>
          <w:tab w:val="left" w:pos="709"/>
        </w:tabs>
        <w:spacing w:before="0" w:line="360" w:lineRule="auto"/>
        <w:ind w:left="0" w:firstLine="0"/>
      </w:pPr>
      <w:r>
        <w:t>25</w:t>
      </w:r>
      <w:r w:rsidR="00C73FAC">
        <w:t>.</w:t>
      </w:r>
      <w:r w:rsidR="00C73FAC">
        <w:tab/>
        <w:t xml:space="preserve">Ademais, o entendimento pela possibilidade de contratar esse tipo de serviço por meio de inexigibilidade veio sendo </w:t>
      </w:r>
      <w:r w:rsidR="00C73FAC">
        <w:rPr>
          <w:b/>
        </w:rPr>
        <w:t>reiterado</w:t>
      </w:r>
      <w:r w:rsidR="00C73FAC">
        <w:t xml:space="preserve">, como se pode notar dos seguintes julgados: </w:t>
      </w:r>
      <w:r w:rsidR="00C73FAC">
        <w:rPr>
          <w:u w:val="single"/>
        </w:rPr>
        <w:t>Acórdão 654/2004 – 2º Câmara</w:t>
      </w:r>
      <w:r w:rsidR="00C73FAC">
        <w:t xml:space="preserve">; </w:t>
      </w:r>
      <w:r w:rsidR="00C73FAC">
        <w:rPr>
          <w:u w:val="single"/>
        </w:rPr>
        <w:t>Acórdão n. 1.915/2003 – Plenário</w:t>
      </w:r>
      <w:r w:rsidR="00C73FAC">
        <w:t xml:space="preserve">; </w:t>
      </w:r>
      <w:r w:rsidR="00C73FAC">
        <w:rPr>
          <w:u w:val="single"/>
        </w:rPr>
        <w:t>Acórdão n. 1.568/2003 – 1ª Câmara</w:t>
      </w:r>
      <w:r w:rsidR="00C73FAC">
        <w:t xml:space="preserve"> e </w:t>
      </w:r>
      <w:r w:rsidR="00C73FAC">
        <w:rPr>
          <w:u w:val="single"/>
        </w:rPr>
        <w:t>Acórdão 412/2008 – Plenário</w:t>
      </w:r>
      <w:r w:rsidR="00C73FAC">
        <w:t>.</w:t>
      </w:r>
    </w:p>
    <w:p w:rsidR="00DF4F4F" w:rsidRDefault="00DF4F4F">
      <w:pPr>
        <w:pStyle w:val="TituloPROCANAC"/>
        <w:spacing w:before="0" w:line="360" w:lineRule="auto"/>
      </w:pPr>
    </w:p>
    <w:p w:rsidR="00DF4F4F" w:rsidRDefault="00A2436E">
      <w:pPr>
        <w:pStyle w:val="TituloPROCANAC"/>
        <w:tabs>
          <w:tab w:val="left" w:pos="709"/>
        </w:tabs>
        <w:spacing w:before="0" w:line="360" w:lineRule="auto"/>
        <w:ind w:left="0" w:firstLine="0"/>
      </w:pPr>
      <w:r>
        <w:t>26</w:t>
      </w:r>
      <w:r w:rsidR="00C73FAC">
        <w:t>.</w:t>
      </w:r>
      <w:r w:rsidR="00C73FAC">
        <w:tab/>
        <w:t>Nesse sentido</w:t>
      </w:r>
      <w:r w:rsidR="004C06A7">
        <w:t>,</w:t>
      </w:r>
      <w:r w:rsidR="00C73FAC">
        <w:t xml:space="preserve"> o entendimento do Tribunal de Contas da União editou mais uma Súmula, </w:t>
      </w:r>
      <w:r w:rsidR="00C73FAC">
        <w:rPr>
          <w:i/>
        </w:rPr>
        <w:t>in verbis</w:t>
      </w:r>
      <w:r w:rsidR="00C73FAC">
        <w:t>:</w:t>
      </w:r>
    </w:p>
    <w:p w:rsidR="00DF4F4F" w:rsidRDefault="00DF4F4F">
      <w:pPr>
        <w:spacing w:line="360" w:lineRule="auto"/>
        <w:ind w:left="775"/>
        <w:jc w:val="both"/>
        <w:rPr>
          <w:b/>
          <w:bCs/>
          <w:color w:val="333333"/>
          <w:szCs w:val="24"/>
        </w:rPr>
      </w:pPr>
    </w:p>
    <w:p w:rsidR="00DF4F4F" w:rsidRDefault="00C73FAC">
      <w:pPr>
        <w:spacing w:line="360" w:lineRule="auto"/>
        <w:ind w:left="1985"/>
        <w:jc w:val="both"/>
        <w:rPr>
          <w:szCs w:val="24"/>
        </w:rPr>
      </w:pPr>
      <w:r>
        <w:rPr>
          <w:rFonts w:eastAsia="Arial Unicode MS"/>
          <w:szCs w:val="24"/>
        </w:rPr>
        <w:t>Súmula</w:t>
      </w:r>
      <w:r>
        <w:rPr>
          <w:szCs w:val="24"/>
        </w:rPr>
        <w:t xml:space="preserve"> 264/2011 do TCU</w:t>
      </w:r>
    </w:p>
    <w:p w:rsidR="00DF4F4F" w:rsidRDefault="00C73FAC">
      <w:pPr>
        <w:spacing w:line="360" w:lineRule="auto"/>
        <w:ind w:left="1985"/>
        <w:jc w:val="both"/>
        <w:rPr>
          <w:szCs w:val="24"/>
        </w:rPr>
      </w:pPr>
      <w:r>
        <w:rPr>
          <w:szCs w:val="24"/>
        </w:rPr>
        <w:t>A inexigibilidade de licitação para a contratação de serviços técnicos com pessoas físicas ou jurídicas de notória especialização somente é cabível quando se tratar de serviço de natureza singular, capaz de exigir, na seleção do executor de confiança, grau de subjetividade insuscetível de ser medido pelos critérios objetivos de qualificação inerentes ao processo de licitação, nos termos do art. 25, i</w:t>
      </w:r>
      <w:r w:rsidR="00A2436E">
        <w:rPr>
          <w:szCs w:val="24"/>
        </w:rPr>
        <w:t xml:space="preserve">nciso II, da Lei nº 8.666/1993. </w:t>
      </w:r>
      <w:r>
        <w:rPr>
          <w:szCs w:val="24"/>
        </w:rPr>
        <w:t>(Ac. 1.437/2011-P).</w:t>
      </w:r>
    </w:p>
    <w:p w:rsidR="00DF4F4F" w:rsidRDefault="00DF4F4F">
      <w:pPr>
        <w:spacing w:line="360" w:lineRule="auto"/>
        <w:jc w:val="both"/>
        <w:rPr>
          <w:szCs w:val="24"/>
        </w:rPr>
      </w:pPr>
    </w:p>
    <w:p w:rsidR="00DF4F4F" w:rsidRDefault="00A2436E">
      <w:pPr>
        <w:pStyle w:val="NormalWeb"/>
        <w:spacing w:before="0" w:after="0" w:line="360" w:lineRule="auto"/>
        <w:jc w:val="both"/>
      </w:pPr>
      <w:r>
        <w:t>27</w:t>
      </w:r>
      <w:r w:rsidR="00C73FAC">
        <w:t>.</w:t>
      </w:r>
      <w:r w:rsidR="00C73FAC">
        <w:tab/>
        <w:t>Nesse diapasão, a Administração deve analisar se a hipótese se refere à contratação de serviços técnico-profissionais especializados, prestados por profissionais ou empresas de notória especialização, e com objeto singular, como disponibilizado no art. 25, II, da Lei 8.666/93.</w:t>
      </w:r>
    </w:p>
    <w:p w:rsidR="00DF4F4F" w:rsidRDefault="00DF4F4F">
      <w:pPr>
        <w:pStyle w:val="NormalWeb"/>
        <w:spacing w:before="0" w:after="0" w:line="360" w:lineRule="auto"/>
        <w:jc w:val="both"/>
      </w:pPr>
    </w:p>
    <w:p w:rsidR="00DF4F4F" w:rsidRDefault="00A2436E">
      <w:pPr>
        <w:pStyle w:val="NormalWeb"/>
        <w:spacing w:before="0" w:after="0" w:line="360" w:lineRule="auto"/>
        <w:jc w:val="both"/>
      </w:pPr>
      <w:r>
        <w:t>28</w:t>
      </w:r>
      <w:r w:rsidR="00C73FAC">
        <w:t>.</w:t>
      </w:r>
      <w:r w:rsidR="00C73FAC">
        <w:tab/>
        <w:t xml:space="preserve">O citado dispositivo exige que se reúnam, simultaneamente, três requisitos diferentes para que a situação seja enquadrada como inexigibilidade. Sobre tais requisitos, pronunciou-se o STJ no julgamento do Recurso Especial n° 704108, publicado em 16/05/05: </w:t>
      </w:r>
    </w:p>
    <w:p w:rsidR="00DF4F4F" w:rsidRDefault="00DF4F4F">
      <w:pPr>
        <w:pStyle w:val="NormalWeb"/>
        <w:spacing w:before="0" w:after="0" w:line="360" w:lineRule="auto"/>
        <w:jc w:val="both"/>
      </w:pPr>
    </w:p>
    <w:p w:rsidR="00DF4F4F" w:rsidRDefault="00C73FAC">
      <w:pPr>
        <w:pStyle w:val="NormalWeb"/>
        <w:spacing w:before="0" w:after="0" w:line="360" w:lineRule="auto"/>
        <w:ind w:left="2268"/>
        <w:jc w:val="both"/>
        <w:rPr>
          <w:i/>
        </w:rPr>
      </w:pPr>
      <w:r>
        <w:rPr>
          <w:i/>
        </w:rPr>
        <w:t xml:space="preserve">A contratação de serviços sem licitação depende, portanto de três condições: </w:t>
      </w:r>
      <w:r>
        <w:rPr>
          <w:b/>
          <w:bCs/>
          <w:i/>
          <w:iCs/>
        </w:rPr>
        <w:t>1) a enumeração do serviço no dispositivo legal supracitado (art. 13); 2) sua natureza singular, isto é, não basta estar enumerado no art. 13 da Lei 8.666/93, sendo necessário que o serviço se torne único devido à sua complexidade e relevância que torna inexigível a licitação; e 3) a notória especialização do profissional (conforme disposto no parágrafo 1° do art. 25).</w:t>
      </w:r>
      <w:r>
        <w:rPr>
          <w:i/>
        </w:rPr>
        <w:t xml:space="preserve"> Assim, não </w:t>
      </w:r>
      <w:proofErr w:type="gramStart"/>
      <w:r>
        <w:rPr>
          <w:i/>
        </w:rPr>
        <w:t>é</w:t>
      </w:r>
      <w:proofErr w:type="gramEnd"/>
      <w:r>
        <w:rPr>
          <w:i/>
        </w:rPr>
        <w:t xml:space="preserve"> qualquer serviço descrito no art. 13 da Lei 8.666/93 que torna inexigível a licitação, mas aquele de natureza singular, que exige a contratação de profissional notoriamente especializado, cuja escolha está adstrita à di</w:t>
      </w:r>
      <w:r w:rsidR="00A2436E">
        <w:rPr>
          <w:i/>
        </w:rPr>
        <w:t>scricionariedade administrativa</w:t>
      </w:r>
      <w:r>
        <w:rPr>
          <w:i/>
        </w:rPr>
        <w:t>. (grifos aditados)</w:t>
      </w:r>
      <w:r w:rsidR="00A2436E">
        <w:rPr>
          <w:i/>
        </w:rPr>
        <w:t>.</w:t>
      </w:r>
    </w:p>
    <w:p w:rsidR="00DF4F4F" w:rsidRDefault="00DF4F4F">
      <w:pPr>
        <w:pStyle w:val="NormalWeb"/>
        <w:spacing w:before="0" w:after="0" w:line="360" w:lineRule="auto"/>
        <w:jc w:val="both"/>
        <w:rPr>
          <w:i/>
        </w:rPr>
      </w:pPr>
    </w:p>
    <w:p w:rsidR="00DF4F4F" w:rsidRDefault="00A2436E">
      <w:pPr>
        <w:pStyle w:val="NormalWeb"/>
        <w:spacing w:before="0" w:after="0" w:line="360" w:lineRule="auto"/>
        <w:jc w:val="both"/>
      </w:pPr>
      <w:r>
        <w:t>29</w:t>
      </w:r>
      <w:r w:rsidR="00C73FAC">
        <w:t>.</w:t>
      </w:r>
      <w:r w:rsidR="00C73FAC">
        <w:tab/>
        <w:t xml:space="preserve">Quanto ao primeiro requisito, o entendimento do TCU e a Orientação da AGU postos mais acima superam quaisquer questionamentos a respeito do </w:t>
      </w:r>
      <w:r w:rsidR="00C73FAC">
        <w:rPr>
          <w:b/>
        </w:rPr>
        <w:t>enquadramento</w:t>
      </w:r>
      <w:r w:rsidR="00C73FAC">
        <w:t xml:space="preserve"> da inscrição de servidores em curso aberto no </w:t>
      </w:r>
      <w:r w:rsidR="00C73FAC">
        <w:rPr>
          <w:b/>
        </w:rPr>
        <w:t>rol do art. 13</w:t>
      </w:r>
      <w:r w:rsidR="00C73FAC">
        <w:t xml:space="preserve"> da Lei 8.666/93: </w:t>
      </w:r>
    </w:p>
    <w:p w:rsidR="00DF4F4F" w:rsidRDefault="00DF4F4F">
      <w:pPr>
        <w:pStyle w:val="NormalWeb"/>
        <w:spacing w:before="0" w:after="0" w:line="360" w:lineRule="auto"/>
        <w:jc w:val="both"/>
      </w:pPr>
    </w:p>
    <w:p w:rsidR="00DF4F4F" w:rsidRDefault="00C73FAC">
      <w:pPr>
        <w:pStyle w:val="NormalWeb"/>
        <w:spacing w:before="0" w:after="0" w:line="360" w:lineRule="auto"/>
        <w:ind w:left="2268"/>
        <w:jc w:val="both"/>
        <w:rPr>
          <w:i/>
        </w:rPr>
      </w:pPr>
      <w:r>
        <w:rPr>
          <w:i/>
        </w:rPr>
        <w:t>Art. 13. Para os fins desta Lei, consideram-se serviços técnicos profissionais especializados os trabalhos relativos a:</w:t>
      </w:r>
    </w:p>
    <w:p w:rsidR="00DF4F4F" w:rsidRDefault="00C73FAC">
      <w:pPr>
        <w:pStyle w:val="NormalWeb"/>
        <w:spacing w:before="0" w:after="0" w:line="360" w:lineRule="auto"/>
        <w:ind w:left="2268"/>
        <w:jc w:val="both"/>
        <w:rPr>
          <w:i/>
        </w:rPr>
      </w:pPr>
      <w:r>
        <w:rPr>
          <w:i/>
        </w:rPr>
        <w:t>(...)</w:t>
      </w:r>
    </w:p>
    <w:p w:rsidR="00DF4F4F" w:rsidRDefault="00C73FAC">
      <w:pPr>
        <w:pStyle w:val="western"/>
        <w:spacing w:before="0"/>
        <w:ind w:left="2268"/>
        <w:rPr>
          <w:rFonts w:ascii="Times New Roman" w:hAnsi="Times New Roman" w:cs="Times New Roman"/>
          <w:i/>
        </w:rPr>
      </w:pPr>
      <w:r>
        <w:rPr>
          <w:rFonts w:ascii="Times New Roman" w:hAnsi="Times New Roman" w:cs="Times New Roman"/>
          <w:i/>
        </w:rPr>
        <w:t>VI-</w:t>
      </w:r>
      <w:r>
        <w:rPr>
          <w:rFonts w:ascii="Times New Roman" w:eastAsia="Times New Roman" w:hAnsi="Times New Roman" w:cs="Times New Roman"/>
          <w:i/>
        </w:rPr>
        <w:t xml:space="preserve"> </w:t>
      </w:r>
      <w:r>
        <w:rPr>
          <w:rFonts w:ascii="Times New Roman" w:hAnsi="Times New Roman" w:cs="Times New Roman"/>
          <w:i/>
        </w:rPr>
        <w:t>treinamento</w:t>
      </w:r>
      <w:r>
        <w:rPr>
          <w:rFonts w:ascii="Times New Roman" w:eastAsia="Times New Roman" w:hAnsi="Times New Roman" w:cs="Times New Roman"/>
          <w:i/>
        </w:rPr>
        <w:t xml:space="preserve"> </w:t>
      </w:r>
      <w:r>
        <w:rPr>
          <w:rFonts w:ascii="Times New Roman" w:hAnsi="Times New Roman" w:cs="Times New Roman"/>
          <w:i/>
        </w:rPr>
        <w:t>e</w:t>
      </w:r>
      <w:r>
        <w:rPr>
          <w:rFonts w:ascii="Times New Roman" w:eastAsia="Times New Roman" w:hAnsi="Times New Roman" w:cs="Times New Roman"/>
          <w:i/>
        </w:rPr>
        <w:t xml:space="preserve"> </w:t>
      </w:r>
      <w:r>
        <w:rPr>
          <w:rFonts w:ascii="Times New Roman" w:hAnsi="Times New Roman" w:cs="Times New Roman"/>
          <w:i/>
        </w:rPr>
        <w:t>aperfeiçoamento</w:t>
      </w:r>
      <w:r>
        <w:rPr>
          <w:rFonts w:ascii="Times New Roman" w:eastAsia="Times New Roman" w:hAnsi="Times New Roman" w:cs="Times New Roman"/>
          <w:i/>
        </w:rPr>
        <w:t xml:space="preserve"> </w:t>
      </w:r>
      <w:r>
        <w:rPr>
          <w:rFonts w:ascii="Times New Roman" w:hAnsi="Times New Roman" w:cs="Times New Roman"/>
          <w:i/>
        </w:rPr>
        <w:t>de</w:t>
      </w:r>
      <w:r>
        <w:rPr>
          <w:rFonts w:ascii="Times New Roman" w:eastAsia="Times New Roman" w:hAnsi="Times New Roman" w:cs="Times New Roman"/>
          <w:i/>
        </w:rPr>
        <w:t xml:space="preserve"> </w:t>
      </w:r>
      <w:r>
        <w:rPr>
          <w:rFonts w:ascii="Times New Roman" w:hAnsi="Times New Roman" w:cs="Times New Roman"/>
          <w:i/>
        </w:rPr>
        <w:t>pessoal;</w:t>
      </w:r>
    </w:p>
    <w:p w:rsidR="00DF4F4F" w:rsidRDefault="00DF4F4F">
      <w:pPr>
        <w:pStyle w:val="western"/>
        <w:spacing w:before="0"/>
        <w:rPr>
          <w:rFonts w:ascii="Times New Roman" w:hAnsi="Times New Roman" w:cs="Times New Roman"/>
        </w:rPr>
      </w:pPr>
    </w:p>
    <w:p w:rsidR="00DF4F4F" w:rsidRDefault="00A2436E">
      <w:pPr>
        <w:pStyle w:val="TituloPROCANAC"/>
        <w:tabs>
          <w:tab w:val="left" w:pos="709"/>
        </w:tabs>
        <w:spacing w:before="0" w:line="360" w:lineRule="auto"/>
        <w:ind w:left="0" w:firstLine="0"/>
      </w:pPr>
      <w:r>
        <w:rPr>
          <w:color w:val="000000"/>
        </w:rPr>
        <w:lastRenderedPageBreak/>
        <w:t>30</w:t>
      </w:r>
      <w:r w:rsidR="00C73FAC">
        <w:rPr>
          <w:color w:val="000000"/>
        </w:rPr>
        <w:t>.</w:t>
      </w:r>
      <w:r w:rsidR="00C73FAC">
        <w:rPr>
          <w:color w:val="000000"/>
        </w:rPr>
        <w:tab/>
        <w:t>No que se refere ao segundo requisito, qual seja, singularidade do serviço a ser contratado, cumpre ressaltar que esta Procuradoria não possui competência para verificar se o evento em questão é, de fato, singular, e se a entidade realizadora do evento possui notória especialização.</w:t>
      </w:r>
      <w:r>
        <w:rPr>
          <w:color w:val="000000"/>
        </w:rPr>
        <w:t xml:space="preserve"> </w:t>
      </w:r>
      <w:r w:rsidRPr="00E12D4A">
        <w:rPr>
          <w:b/>
          <w:color w:val="000000"/>
        </w:rPr>
        <w:t>Cabe à Administração analisar e fundamentar, caso a caso, o preenchimento desses pressupostos.</w:t>
      </w:r>
    </w:p>
    <w:p w:rsidR="00DF4F4F" w:rsidRDefault="00DF4F4F">
      <w:pPr>
        <w:pStyle w:val="TituloPROCANAC"/>
        <w:tabs>
          <w:tab w:val="left" w:pos="709"/>
        </w:tabs>
        <w:spacing w:before="0" w:line="360" w:lineRule="auto"/>
        <w:ind w:left="0" w:firstLine="0"/>
        <w:rPr>
          <w:color w:val="000000"/>
        </w:rPr>
      </w:pPr>
    </w:p>
    <w:p w:rsidR="00DF4F4F" w:rsidRDefault="00E12D4A">
      <w:pPr>
        <w:pStyle w:val="TituloPROCANAC"/>
        <w:tabs>
          <w:tab w:val="left" w:pos="851"/>
        </w:tabs>
        <w:spacing w:before="0" w:line="360" w:lineRule="auto"/>
        <w:ind w:left="0" w:firstLine="0"/>
      </w:pPr>
      <w:r>
        <w:t>31</w:t>
      </w:r>
      <w:r w:rsidR="00C73FAC">
        <w:t>.</w:t>
      </w:r>
      <w:r w:rsidR="00C73FAC">
        <w:tab/>
        <w:t>Nesse sentido o Enunciado nº 07, do Manual de Boa Prática Consultiva da Advocacia- Geral da União:</w:t>
      </w:r>
    </w:p>
    <w:p w:rsidR="00DF4F4F" w:rsidRDefault="00DF4F4F">
      <w:pPr>
        <w:pStyle w:val="TituloPROCANAC"/>
        <w:spacing w:before="0" w:line="360" w:lineRule="auto"/>
        <w:ind w:left="0" w:firstLine="0"/>
      </w:pPr>
    </w:p>
    <w:p w:rsidR="00DF4F4F" w:rsidRDefault="00C73FAC">
      <w:pPr>
        <w:pStyle w:val="WW-Corpodetexto2"/>
        <w:spacing w:line="360" w:lineRule="auto"/>
        <w:ind w:left="2268"/>
        <w:rPr>
          <w:rFonts w:ascii="Times New Roman" w:hAnsi="Times New Roman" w:cs="Times New Roman"/>
          <w:szCs w:val="24"/>
          <w:lang w:eastAsia="pt-BR"/>
        </w:rPr>
      </w:pPr>
      <w:r>
        <w:rPr>
          <w:rFonts w:ascii="Times New Roman" w:eastAsia="Arial Unicode MS" w:hAnsi="Times New Roman" w:cs="Times New Roman"/>
          <w:b/>
          <w:i/>
          <w:szCs w:val="24"/>
          <w:lang w:eastAsia="pt-BR"/>
        </w:rPr>
        <w:t>O</w:t>
      </w:r>
      <w:r>
        <w:rPr>
          <w:rFonts w:ascii="Times New Roman" w:hAnsi="Times New Roman" w:cs="Times New Roman"/>
          <w:b/>
          <w:i/>
          <w:szCs w:val="24"/>
          <w:lang w:eastAsia="pt-BR"/>
        </w:rPr>
        <w:t xml:space="preserve"> Órgão Consultivo não deve emitir manifestações conclusivas sobre temas não jurídicos, tais como os técnicos, administrativos ou de conveniência ou oportunidade</w:t>
      </w:r>
      <w:r>
        <w:rPr>
          <w:rFonts w:ascii="Times New Roman" w:eastAsia="Arial Unicode MS" w:hAnsi="Times New Roman" w:cs="Times New Roman"/>
          <w:szCs w:val="24"/>
          <w:lang w:eastAsia="pt-BR"/>
        </w:rPr>
        <w:t>.</w:t>
      </w:r>
    </w:p>
    <w:p w:rsidR="00DF4F4F" w:rsidRDefault="00DF4F4F">
      <w:pPr>
        <w:pStyle w:val="western"/>
        <w:spacing w:before="0"/>
        <w:rPr>
          <w:rFonts w:ascii="Times New Roman" w:hAnsi="Times New Roman" w:cs="Times New Roman"/>
        </w:rPr>
      </w:pPr>
    </w:p>
    <w:p w:rsidR="00DF4F4F" w:rsidRDefault="00E12D4A">
      <w:pPr>
        <w:pStyle w:val="TituloPROCANAC"/>
        <w:tabs>
          <w:tab w:val="left" w:pos="709"/>
        </w:tabs>
        <w:spacing w:before="0" w:line="360" w:lineRule="auto"/>
        <w:ind w:left="0" w:firstLine="0"/>
      </w:pPr>
      <w:r>
        <w:t>32</w:t>
      </w:r>
      <w:r w:rsidR="00C73FAC">
        <w:t>.</w:t>
      </w:r>
      <w:r w:rsidR="00C73FAC">
        <w:tab/>
        <w:t xml:space="preserve">Dessa maneira, é sempre recomendável que a Administração procure justificar a singularidade do objeto conforme a doutrina entende que o requisito deva ser configurado, a saber: </w:t>
      </w:r>
    </w:p>
    <w:p w:rsidR="00DF4F4F" w:rsidRDefault="00DF4F4F">
      <w:pPr>
        <w:pStyle w:val="TituloPROCANAC"/>
        <w:tabs>
          <w:tab w:val="left" w:pos="709"/>
        </w:tabs>
        <w:spacing w:before="0" w:line="360" w:lineRule="auto"/>
        <w:ind w:left="0" w:firstLine="0"/>
      </w:pPr>
    </w:p>
    <w:p w:rsidR="00DF4F4F" w:rsidRDefault="00C73FAC">
      <w:pPr>
        <w:spacing w:line="360" w:lineRule="auto"/>
        <w:ind w:left="2268"/>
        <w:jc w:val="both"/>
        <w:rPr>
          <w:i/>
          <w:szCs w:val="24"/>
        </w:rPr>
      </w:pPr>
      <w:r>
        <w:rPr>
          <w:rFonts w:eastAsia="Arial Unicode MS"/>
          <w:i/>
          <w:szCs w:val="24"/>
        </w:rPr>
        <w:t>A</w:t>
      </w:r>
      <w:r>
        <w:rPr>
          <w:i/>
          <w:szCs w:val="24"/>
        </w:rPr>
        <w:t xml:space="preserve"> singularidade, como textualmente estabelece a lei, é do objeto do contrato; é o serviço pretendido pela Administração que é singular, e não o executor do serviço. Aliás, todo profissional é singular, posto que esse atributo </w:t>
      </w:r>
      <w:proofErr w:type="gramStart"/>
      <w:r>
        <w:rPr>
          <w:i/>
          <w:szCs w:val="24"/>
        </w:rPr>
        <w:t>é</w:t>
      </w:r>
      <w:proofErr w:type="gramEnd"/>
      <w:r>
        <w:rPr>
          <w:i/>
          <w:szCs w:val="24"/>
        </w:rPr>
        <w:t xml:space="preserve"> próprio da natureza humana.</w:t>
      </w:r>
    </w:p>
    <w:p w:rsidR="00DF4F4F" w:rsidRDefault="00C73FAC">
      <w:pPr>
        <w:spacing w:line="360" w:lineRule="auto"/>
        <w:ind w:left="2268"/>
        <w:jc w:val="both"/>
        <w:rPr>
          <w:szCs w:val="24"/>
        </w:rPr>
      </w:pPr>
      <w:r>
        <w:rPr>
          <w:rFonts w:eastAsia="Arial Unicode MS"/>
          <w:i/>
          <w:szCs w:val="24"/>
          <w:u w:val="single"/>
        </w:rPr>
        <w:t>Singular</w:t>
      </w:r>
      <w:r>
        <w:rPr>
          <w:i/>
          <w:szCs w:val="24"/>
        </w:rPr>
        <w:t xml:space="preserve"> é a característica </w:t>
      </w:r>
      <w:r>
        <w:rPr>
          <w:rFonts w:eastAsia="Arial Unicode MS"/>
          <w:i/>
          <w:szCs w:val="24"/>
          <w:u w:val="single"/>
        </w:rPr>
        <w:t>do</w:t>
      </w:r>
      <w:r>
        <w:rPr>
          <w:i/>
          <w:szCs w:val="24"/>
          <w:u w:val="single"/>
        </w:rPr>
        <w:t xml:space="preserve"> objeto</w:t>
      </w:r>
      <w:r>
        <w:rPr>
          <w:i/>
          <w:szCs w:val="24"/>
        </w:rPr>
        <w:t xml:space="preserve"> que o individualiza, </w:t>
      </w:r>
      <w:r>
        <w:rPr>
          <w:rFonts w:eastAsia="Arial Unicode MS"/>
          <w:i/>
          <w:szCs w:val="24"/>
          <w:u w:val="single"/>
        </w:rPr>
        <w:t>distingue</w:t>
      </w:r>
      <w:r>
        <w:rPr>
          <w:i/>
          <w:szCs w:val="24"/>
          <w:u w:val="single"/>
        </w:rPr>
        <w:t xml:space="preserve"> dos demais</w:t>
      </w:r>
      <w:r>
        <w:rPr>
          <w:rFonts w:eastAsia="Arial Unicode MS"/>
          <w:i/>
          <w:szCs w:val="24"/>
        </w:rPr>
        <w:t>.</w:t>
      </w:r>
      <w:r>
        <w:rPr>
          <w:i/>
          <w:szCs w:val="24"/>
        </w:rPr>
        <w:t xml:space="preserve"> É a presença de um </w:t>
      </w:r>
      <w:r>
        <w:rPr>
          <w:rFonts w:eastAsia="Arial Unicode MS"/>
          <w:i/>
          <w:szCs w:val="24"/>
          <w:u w:val="single"/>
        </w:rPr>
        <w:t>atributo</w:t>
      </w:r>
      <w:r>
        <w:rPr>
          <w:i/>
          <w:szCs w:val="24"/>
        </w:rPr>
        <w:t xml:space="preserve"> incomum na espécie, </w:t>
      </w:r>
      <w:r>
        <w:rPr>
          <w:rFonts w:eastAsia="Arial Unicode MS"/>
          <w:i/>
          <w:szCs w:val="24"/>
          <w:u w:val="single"/>
        </w:rPr>
        <w:t>diferenciador</w:t>
      </w:r>
      <w:r>
        <w:rPr>
          <w:rFonts w:eastAsia="Arial Unicode MS"/>
          <w:i/>
          <w:szCs w:val="24"/>
        </w:rPr>
        <w:t>.</w:t>
      </w:r>
      <w:r>
        <w:rPr>
          <w:i/>
          <w:szCs w:val="24"/>
        </w:rPr>
        <w:t xml:space="preserve"> A singularidade não está associada à noção de preço, de dimensões, de localidade, de cor ou forma</w:t>
      </w:r>
      <w:r>
        <w:rPr>
          <w:rStyle w:val="ncoradanotaderodap"/>
          <w:i/>
          <w:szCs w:val="24"/>
        </w:rPr>
        <w:footnoteReference w:id="5"/>
      </w:r>
      <w:r>
        <w:rPr>
          <w:rFonts w:eastAsia="Arial Unicode MS"/>
          <w:szCs w:val="24"/>
        </w:rPr>
        <w:t>.</w:t>
      </w:r>
    </w:p>
    <w:p w:rsidR="00DF4F4F" w:rsidRDefault="00DF4F4F">
      <w:pPr>
        <w:pStyle w:val="TituloPROCANAC"/>
        <w:spacing w:before="0" w:line="360" w:lineRule="auto"/>
        <w:ind w:left="0" w:firstLine="0"/>
      </w:pPr>
    </w:p>
    <w:p w:rsidR="00DF4F4F" w:rsidRDefault="008B46F6">
      <w:pPr>
        <w:pStyle w:val="TituloPROCANAC"/>
        <w:tabs>
          <w:tab w:val="left" w:pos="709"/>
        </w:tabs>
        <w:spacing w:before="0" w:line="360" w:lineRule="auto"/>
        <w:ind w:left="0" w:firstLine="0"/>
      </w:pPr>
      <w:r>
        <w:t>33</w:t>
      </w:r>
      <w:r w:rsidR="00C73FAC">
        <w:t>.</w:t>
      </w:r>
      <w:r w:rsidR="00C73FAC">
        <w:tab/>
        <w:t>Para não restar dúvida ao Administrador, reproduza-se também lição de Hely Lopes de Meirelles sobre os tais serviços técnicos profissionais especializados de natureza</w:t>
      </w:r>
      <w:r w:rsidR="00C73FAC">
        <w:rPr>
          <w:i/>
        </w:rPr>
        <w:t xml:space="preserve"> singular:</w:t>
      </w:r>
      <w:r w:rsidR="00C73FAC">
        <w:t xml:space="preserve"> </w:t>
      </w:r>
    </w:p>
    <w:p w:rsidR="00DF4F4F" w:rsidRDefault="00DF4F4F">
      <w:pPr>
        <w:pStyle w:val="TituloPROCANAC"/>
        <w:tabs>
          <w:tab w:val="left" w:pos="709"/>
        </w:tabs>
        <w:spacing w:before="0" w:line="360" w:lineRule="auto"/>
        <w:ind w:left="0" w:firstLine="0"/>
      </w:pPr>
    </w:p>
    <w:p w:rsidR="00DF4F4F" w:rsidRDefault="00C73FAC">
      <w:pPr>
        <w:spacing w:line="360" w:lineRule="auto"/>
        <w:ind w:left="2268"/>
        <w:jc w:val="both"/>
        <w:rPr>
          <w:szCs w:val="24"/>
        </w:rPr>
      </w:pPr>
      <w:r>
        <w:rPr>
          <w:rFonts w:eastAsia="Arial Unicode MS"/>
          <w:szCs w:val="24"/>
        </w:rPr>
        <w:t>[...]</w:t>
      </w:r>
      <w:r>
        <w:rPr>
          <w:szCs w:val="24"/>
        </w:rPr>
        <w:t xml:space="preserve"> </w:t>
      </w:r>
      <w:r>
        <w:rPr>
          <w:rFonts w:eastAsia="Arial Unicode MS"/>
          <w:i/>
          <w:szCs w:val="24"/>
        </w:rPr>
        <w:t>são</w:t>
      </w:r>
      <w:r>
        <w:rPr>
          <w:i/>
          <w:szCs w:val="24"/>
        </w:rPr>
        <w:t xml:space="preserve"> os prestados por quem, além da habilitação profissional técnica e profissional – exigida para os serviços técnicos profissionais em geral -, aprofundou-se nos estudos, no exercício da profissão, na pesquisa científica, ou através de cursos de pós-graduação ou de estágios de aperfeiçoamento. Bem por isso, Celso Antônio considera-os singulares, posto que marcados por características individualizadoras, que os distinguem dos oferecidos por outros profissionais do mesmo ramo</w:t>
      </w:r>
      <w:r>
        <w:rPr>
          <w:rStyle w:val="ncoradanotaderodap"/>
          <w:i/>
          <w:szCs w:val="24"/>
        </w:rPr>
        <w:footnoteReference w:id="6"/>
      </w:r>
      <w:r>
        <w:rPr>
          <w:szCs w:val="24"/>
        </w:rPr>
        <w:t>.</w:t>
      </w:r>
    </w:p>
    <w:p w:rsidR="00DF4F4F" w:rsidRDefault="00DF4F4F">
      <w:pPr>
        <w:pStyle w:val="TituloPROCANAC"/>
        <w:tabs>
          <w:tab w:val="left" w:pos="851"/>
        </w:tabs>
        <w:spacing w:before="0" w:line="360" w:lineRule="auto"/>
        <w:ind w:left="0" w:firstLine="0"/>
      </w:pPr>
    </w:p>
    <w:p w:rsidR="00DF4F4F" w:rsidRDefault="00E27097">
      <w:pPr>
        <w:pStyle w:val="TituloPROCANAC"/>
        <w:tabs>
          <w:tab w:val="left" w:pos="851"/>
        </w:tabs>
        <w:spacing w:before="0" w:line="360" w:lineRule="auto"/>
        <w:ind w:left="0" w:firstLine="0"/>
      </w:pPr>
      <w:r>
        <w:t>34</w:t>
      </w:r>
      <w:r w:rsidR="00C73FAC">
        <w:t>.</w:t>
      </w:r>
      <w:r w:rsidR="00C73FAC">
        <w:tab/>
        <w:t xml:space="preserve">Note-se que, enquanto uns consideram que a singularidade reside no só fato de ser prestado por profissionais de notória especialização, outros aduzem que a tal singularidade é afeta </w:t>
      </w:r>
      <w:r w:rsidR="00C73FAC">
        <w:rPr>
          <w:i/>
        </w:rPr>
        <w:t>ao serviço</w:t>
      </w:r>
      <w:r w:rsidR="00C73FAC">
        <w:t xml:space="preserve">, não se encerrando na justificativa de gabarito profissional. A essa segunda corrente parece ter-se filiado o TCU, pelo que se depreende da Súmula transcrita mais acima. Nela, exige-se de forma diversa a comprovação da notória especialização e a da singularidade </w:t>
      </w:r>
      <w:r w:rsidR="00C73FAC">
        <w:rPr>
          <w:i/>
        </w:rPr>
        <w:t>do</w:t>
      </w:r>
      <w:r w:rsidR="00C73FAC">
        <w:t xml:space="preserve"> </w:t>
      </w:r>
      <w:r w:rsidR="00C73FAC">
        <w:rPr>
          <w:i/>
        </w:rPr>
        <w:t>serviço</w:t>
      </w:r>
      <w:r w:rsidR="00C73FAC">
        <w:t>.</w:t>
      </w:r>
    </w:p>
    <w:p w:rsidR="00DF4F4F" w:rsidRDefault="00DF4F4F">
      <w:pPr>
        <w:pStyle w:val="TituloPROCANAC"/>
        <w:tabs>
          <w:tab w:val="left" w:pos="851"/>
        </w:tabs>
        <w:spacing w:before="0" w:line="360" w:lineRule="auto"/>
        <w:ind w:left="0" w:firstLine="0"/>
      </w:pPr>
    </w:p>
    <w:p w:rsidR="00DF4F4F" w:rsidRDefault="00E27097">
      <w:pPr>
        <w:pStyle w:val="TituloPROCANAC"/>
        <w:tabs>
          <w:tab w:val="left" w:pos="709"/>
        </w:tabs>
        <w:spacing w:before="0" w:line="360" w:lineRule="auto"/>
        <w:ind w:left="0" w:firstLine="0"/>
      </w:pPr>
      <w:r>
        <w:t>35</w:t>
      </w:r>
      <w:r w:rsidR="00C73FAC">
        <w:t>.</w:t>
      </w:r>
      <w:r w:rsidR="00C73FAC">
        <w:tab/>
        <w:t>De sorte que, repita-se, é sempre recomendado que seja anexada manifestação administrativa demonstrando efetivamente a comprovação dos requisitos de singularidade do objeto e da notória especialização, a fim de prezar não só pela legalidade dos atos administrativos – motivação do ato –, mas também evitar possível penalização dos responsáveis pela contratação em tela.</w:t>
      </w:r>
    </w:p>
    <w:p w:rsidR="00DF4F4F" w:rsidRDefault="00DF4F4F">
      <w:pPr>
        <w:pStyle w:val="TituloPROCANAC"/>
        <w:tabs>
          <w:tab w:val="left" w:pos="709"/>
        </w:tabs>
        <w:spacing w:before="0" w:line="360" w:lineRule="auto"/>
        <w:ind w:left="0" w:firstLine="0"/>
        <w:rPr>
          <w:b/>
        </w:rPr>
      </w:pPr>
    </w:p>
    <w:p w:rsidR="00DF4F4F" w:rsidRDefault="00E27097">
      <w:pPr>
        <w:pStyle w:val="TituloPROCANAC"/>
        <w:tabs>
          <w:tab w:val="left" w:pos="709"/>
        </w:tabs>
        <w:spacing w:before="0" w:line="360" w:lineRule="auto"/>
        <w:ind w:left="0" w:firstLine="0"/>
      </w:pPr>
      <w:r w:rsidRPr="005C599B">
        <w:t>36</w:t>
      </w:r>
      <w:r w:rsidR="00C73FAC" w:rsidRPr="005C599B">
        <w:t>.</w:t>
      </w:r>
      <w:r w:rsidR="00C73FAC">
        <w:tab/>
      </w:r>
      <w:r w:rsidR="00C73FAC">
        <w:rPr>
          <w:b/>
        </w:rPr>
        <w:t xml:space="preserve">Com efeito, consta </w:t>
      </w:r>
      <w:r w:rsidR="007B646A">
        <w:rPr>
          <w:b/>
        </w:rPr>
        <w:t xml:space="preserve">do </w:t>
      </w:r>
      <w:r w:rsidR="00D66855">
        <w:rPr>
          <w:b/>
        </w:rPr>
        <w:t xml:space="preserve">Termo de Referência, </w:t>
      </w:r>
      <w:r w:rsidR="007B646A">
        <w:rPr>
          <w:b/>
        </w:rPr>
        <w:t>fl</w:t>
      </w:r>
      <w:r w:rsidR="005E62EE">
        <w:rPr>
          <w:b/>
        </w:rPr>
        <w:t>s</w:t>
      </w:r>
      <w:r w:rsidR="007B646A">
        <w:rPr>
          <w:b/>
        </w:rPr>
        <w:t xml:space="preserve">. </w:t>
      </w:r>
      <w:r w:rsidR="00D66855">
        <w:rPr>
          <w:b/>
        </w:rPr>
        <w:t>36</w:t>
      </w:r>
      <w:r w:rsidR="005E62EE">
        <w:rPr>
          <w:b/>
        </w:rPr>
        <w:t>/</w:t>
      </w:r>
      <w:r w:rsidR="00D66855">
        <w:rPr>
          <w:b/>
        </w:rPr>
        <w:t>37</w:t>
      </w:r>
      <w:r w:rsidR="00113634">
        <w:rPr>
          <w:b/>
        </w:rPr>
        <w:t xml:space="preserve">, </w:t>
      </w:r>
      <w:r w:rsidR="00716953">
        <w:rPr>
          <w:b/>
        </w:rPr>
        <w:t>bem como do</w:t>
      </w:r>
      <w:r w:rsidR="00C73FAC">
        <w:rPr>
          <w:b/>
        </w:rPr>
        <w:t xml:space="preserve"> Termo de Justificativa</w:t>
      </w:r>
      <w:r w:rsidR="00C73FAC">
        <w:rPr>
          <w:b/>
          <w:highlight w:val="white"/>
        </w:rPr>
        <w:t xml:space="preserve"> </w:t>
      </w:r>
      <w:r w:rsidR="00716953">
        <w:rPr>
          <w:b/>
        </w:rPr>
        <w:t>para Inexigibilidade</w:t>
      </w:r>
      <w:r w:rsidR="00A95DD3">
        <w:rPr>
          <w:b/>
        </w:rPr>
        <w:t>,</w:t>
      </w:r>
      <w:r w:rsidR="00C73FAC">
        <w:rPr>
          <w:b/>
        </w:rPr>
        <w:t xml:space="preserve"> </w:t>
      </w:r>
      <w:r w:rsidR="00EE49F9">
        <w:rPr>
          <w:b/>
        </w:rPr>
        <w:t>à fl</w:t>
      </w:r>
      <w:r w:rsidR="007A4D2A">
        <w:rPr>
          <w:b/>
        </w:rPr>
        <w:t xml:space="preserve">. </w:t>
      </w:r>
      <w:r w:rsidR="00EE49F9">
        <w:rPr>
          <w:b/>
        </w:rPr>
        <w:t>62</w:t>
      </w:r>
      <w:r w:rsidR="0051365C">
        <w:rPr>
          <w:b/>
        </w:rPr>
        <w:t xml:space="preserve">, </w:t>
      </w:r>
      <w:r w:rsidR="00C73FAC">
        <w:rPr>
          <w:b/>
        </w:rPr>
        <w:t>manifestação da Administração demonstra</w:t>
      </w:r>
      <w:r w:rsidR="00804318">
        <w:rPr>
          <w:b/>
        </w:rPr>
        <w:t>n</w:t>
      </w:r>
      <w:r w:rsidR="00C73FAC">
        <w:rPr>
          <w:b/>
        </w:rPr>
        <w:t>do os requisitos de singularidade e da notória especialização da contratada.</w:t>
      </w:r>
      <w:r w:rsidR="00EE49F9">
        <w:rPr>
          <w:b/>
        </w:rPr>
        <w:t xml:space="preserve"> Nos demais casos, o servidor interessado deverá juntar o Termo de </w:t>
      </w:r>
      <w:r w:rsidR="005C599B">
        <w:rPr>
          <w:b/>
        </w:rPr>
        <w:t>Justificativa para Inexigibilidade – Anexo IV com as respectivas informações.</w:t>
      </w:r>
      <w:r w:rsidR="00D66855">
        <w:rPr>
          <w:b/>
        </w:rPr>
        <w:t xml:space="preserve"> </w:t>
      </w:r>
      <w:r w:rsidR="00D66855" w:rsidRPr="00D66855">
        <w:rPr>
          <w:b/>
          <w:u w:val="single"/>
        </w:rPr>
        <w:t>Repita-se que a responsabilidade sobre tal afirmação é da Administração em cada caso concreto.</w:t>
      </w:r>
    </w:p>
    <w:p w:rsidR="00DF4F4F" w:rsidRDefault="00DF4F4F">
      <w:pPr>
        <w:pStyle w:val="TituloPROCANAC"/>
        <w:tabs>
          <w:tab w:val="left" w:pos="709"/>
        </w:tabs>
        <w:spacing w:before="0" w:line="360" w:lineRule="auto"/>
        <w:ind w:left="0" w:firstLine="0"/>
        <w:rPr>
          <w:b/>
        </w:rPr>
      </w:pPr>
    </w:p>
    <w:p w:rsidR="00DF4F4F" w:rsidRDefault="00E27097">
      <w:pPr>
        <w:pStyle w:val="TituloPROCANAC"/>
        <w:tabs>
          <w:tab w:val="left" w:pos="709"/>
        </w:tabs>
        <w:spacing w:before="0" w:line="360" w:lineRule="auto"/>
        <w:ind w:left="0" w:firstLine="0"/>
      </w:pPr>
      <w:r>
        <w:lastRenderedPageBreak/>
        <w:t>37</w:t>
      </w:r>
      <w:r w:rsidR="00C73FAC">
        <w:t>.</w:t>
      </w:r>
      <w:r w:rsidR="00C73FAC">
        <w:tab/>
        <w:t>Nesses pontos, como já foi dito, cabe a este Consultivo tão só fornecer – como fornecendo está - os elementos para que a Administração bem fundamente seus atos.</w:t>
      </w:r>
    </w:p>
    <w:p w:rsidR="00DF4F4F" w:rsidRDefault="00DF4F4F">
      <w:pPr>
        <w:pStyle w:val="TituloPROCANAC"/>
        <w:tabs>
          <w:tab w:val="left" w:pos="709"/>
        </w:tabs>
        <w:spacing w:before="0" w:line="360" w:lineRule="auto"/>
      </w:pPr>
    </w:p>
    <w:p w:rsidR="00DF4F4F" w:rsidRDefault="00C73FAC">
      <w:pPr>
        <w:pStyle w:val="western"/>
        <w:spacing w:before="0"/>
        <w:rPr>
          <w:rFonts w:ascii="Times New Roman" w:hAnsi="Times New Roman" w:cs="Times New Roman"/>
          <w:b/>
          <w:bCs/>
        </w:rPr>
      </w:pPr>
      <w:r>
        <w:rPr>
          <w:rFonts w:ascii="Times New Roman" w:hAnsi="Times New Roman" w:cs="Times New Roman"/>
          <w:b/>
          <w:bCs/>
        </w:rPr>
        <w:t>OBSERVÂNCIA</w:t>
      </w:r>
      <w:r>
        <w:rPr>
          <w:rFonts w:ascii="Times New Roman" w:eastAsia="Times New Roman" w:hAnsi="Times New Roman" w:cs="Times New Roman"/>
          <w:b/>
          <w:bCs/>
        </w:rPr>
        <w:t xml:space="preserve"> </w:t>
      </w:r>
      <w:r>
        <w:rPr>
          <w:rFonts w:ascii="Times New Roman" w:hAnsi="Times New Roman" w:cs="Times New Roman"/>
          <w:b/>
          <w:bCs/>
        </w:rPr>
        <w:t>DO</w:t>
      </w:r>
      <w:r>
        <w:rPr>
          <w:rFonts w:ascii="Times New Roman" w:eastAsia="Times New Roman" w:hAnsi="Times New Roman" w:cs="Times New Roman"/>
          <w:b/>
          <w:bCs/>
        </w:rPr>
        <w:t xml:space="preserve"> </w:t>
      </w:r>
      <w:r>
        <w:rPr>
          <w:rFonts w:ascii="Times New Roman" w:hAnsi="Times New Roman" w:cs="Times New Roman"/>
          <w:b/>
          <w:bCs/>
        </w:rPr>
        <w:t>ART.</w:t>
      </w:r>
      <w:r>
        <w:rPr>
          <w:rFonts w:ascii="Times New Roman" w:eastAsia="Times New Roman" w:hAnsi="Times New Roman" w:cs="Times New Roman"/>
          <w:b/>
          <w:bCs/>
        </w:rPr>
        <w:t xml:space="preserve"> </w:t>
      </w:r>
      <w:r>
        <w:rPr>
          <w:rFonts w:ascii="Times New Roman" w:hAnsi="Times New Roman" w:cs="Times New Roman"/>
          <w:b/>
          <w:bCs/>
        </w:rPr>
        <w:t>26</w:t>
      </w:r>
      <w:r>
        <w:rPr>
          <w:rFonts w:ascii="Times New Roman" w:eastAsia="Times New Roman" w:hAnsi="Times New Roman" w:cs="Times New Roman"/>
          <w:b/>
          <w:bCs/>
        </w:rPr>
        <w:t xml:space="preserve"> </w:t>
      </w:r>
      <w:r>
        <w:rPr>
          <w:rFonts w:ascii="Times New Roman" w:hAnsi="Times New Roman" w:cs="Times New Roman"/>
          <w:b/>
          <w:bCs/>
        </w:rPr>
        <w:t>DA</w:t>
      </w:r>
      <w:r>
        <w:rPr>
          <w:rFonts w:ascii="Times New Roman" w:eastAsia="Times New Roman" w:hAnsi="Times New Roman" w:cs="Times New Roman"/>
          <w:b/>
          <w:bCs/>
        </w:rPr>
        <w:t xml:space="preserve"> </w:t>
      </w:r>
      <w:r>
        <w:rPr>
          <w:rFonts w:ascii="Times New Roman" w:hAnsi="Times New Roman" w:cs="Times New Roman"/>
          <w:b/>
          <w:bCs/>
        </w:rPr>
        <w:t>LEI</w:t>
      </w:r>
      <w:r>
        <w:rPr>
          <w:rFonts w:ascii="Times New Roman" w:eastAsia="Times New Roman" w:hAnsi="Times New Roman" w:cs="Times New Roman"/>
          <w:b/>
          <w:bCs/>
        </w:rPr>
        <w:t xml:space="preserve"> </w:t>
      </w:r>
      <w:r>
        <w:rPr>
          <w:rFonts w:ascii="Times New Roman" w:hAnsi="Times New Roman" w:cs="Times New Roman"/>
          <w:b/>
          <w:bCs/>
        </w:rPr>
        <w:t>8.666/93</w:t>
      </w:r>
    </w:p>
    <w:p w:rsidR="00413138" w:rsidRDefault="00413138">
      <w:pPr>
        <w:pStyle w:val="TituloPROCANAC"/>
        <w:tabs>
          <w:tab w:val="left" w:pos="709"/>
        </w:tabs>
        <w:spacing w:before="0" w:line="360" w:lineRule="auto"/>
        <w:ind w:left="0" w:firstLine="0"/>
      </w:pPr>
    </w:p>
    <w:p w:rsidR="007D07FB" w:rsidRDefault="007D07FB">
      <w:pPr>
        <w:pStyle w:val="TituloPROCANAC"/>
        <w:tabs>
          <w:tab w:val="left" w:pos="709"/>
        </w:tabs>
        <w:spacing w:before="0" w:line="360" w:lineRule="auto"/>
        <w:ind w:left="0" w:firstLine="0"/>
      </w:pPr>
      <w:r>
        <w:t>38</w:t>
      </w:r>
      <w:r w:rsidR="00C73FAC">
        <w:t>.</w:t>
      </w:r>
      <w:r w:rsidR="00C73FAC">
        <w:tab/>
        <w:t xml:space="preserve">Comprovada </w:t>
      </w:r>
      <w:proofErr w:type="gramStart"/>
      <w:r w:rsidR="00C73FAC">
        <w:t>a</w:t>
      </w:r>
      <w:proofErr w:type="gramEnd"/>
      <w:r w:rsidR="00C73FAC">
        <w:t xml:space="preserve"> inviabilidade de realização de procedimento licitatório, e demonstrada a necessidade de contratação direta por meio de inexigibilidade, o corpo técnico deste Instituto Federal deverá observar, no que for pertinente, o artigo 26, parágrafo único, da Lei n. 8.666/93. </w:t>
      </w:r>
    </w:p>
    <w:p w:rsidR="00DF4F4F" w:rsidRDefault="00C73FAC">
      <w:pPr>
        <w:pStyle w:val="TituloPROCANAC"/>
        <w:tabs>
          <w:tab w:val="left" w:pos="709"/>
        </w:tabs>
        <w:spacing w:before="0" w:line="360" w:lineRule="auto"/>
        <w:ind w:left="0" w:firstLine="0"/>
      </w:pPr>
      <w:r>
        <w:rPr>
          <w:lang w:eastAsia="pt-BR"/>
        </w:rPr>
        <w:t>Para fins de contratação direta, r</w:t>
      </w:r>
      <w:r>
        <w:t>ecomenda-se a observância do roteiro prático para contratação direta, elaborado pelo Tribunal de Contas da União</w:t>
      </w:r>
      <w:r>
        <w:rPr>
          <w:rStyle w:val="ncoradanotaderodap"/>
        </w:rPr>
        <w:footnoteReference w:id="7"/>
      </w:r>
      <w:r>
        <w:t>:</w:t>
      </w:r>
    </w:p>
    <w:p w:rsidR="00DF4F4F" w:rsidRDefault="00DF4F4F">
      <w:pPr>
        <w:pStyle w:val="Corpodetexto"/>
        <w:spacing w:after="0" w:line="360" w:lineRule="auto"/>
        <w:jc w:val="both"/>
      </w:pPr>
    </w:p>
    <w:p w:rsidR="00DF4F4F" w:rsidRDefault="00C73FAC" w:rsidP="00F120E9">
      <w:pPr>
        <w:ind w:left="1985"/>
        <w:jc w:val="both"/>
        <w:rPr>
          <w:i/>
          <w:color w:val="000000"/>
          <w:szCs w:val="24"/>
        </w:rPr>
      </w:pPr>
      <w:r>
        <w:rPr>
          <w:i/>
          <w:color w:val="000000"/>
          <w:szCs w:val="24"/>
        </w:rPr>
        <w:t>“O processo administrativo de contratação direta por dispensa de licitação, com base nos incisos III a XXIV do art. 24 da Lei nº 8.666, de 1993, e por inexigibilidade de licitação, ao amparo do art. 25 da mesma Lei, será instruído com os elementos previstos no art. 26 da Lei, observados os passos a seguir:</w:t>
      </w:r>
    </w:p>
    <w:p w:rsidR="00DF4F4F" w:rsidRDefault="00DF4F4F" w:rsidP="00F120E9">
      <w:pPr>
        <w:ind w:left="1985"/>
        <w:jc w:val="both"/>
        <w:rPr>
          <w:i/>
          <w:color w:val="000000"/>
          <w:szCs w:val="24"/>
        </w:rPr>
      </w:pPr>
    </w:p>
    <w:p w:rsidR="00DF4F4F" w:rsidRDefault="00C73FAC" w:rsidP="00F120E9">
      <w:pPr>
        <w:ind w:left="1985"/>
        <w:jc w:val="both"/>
      </w:pPr>
      <w:r>
        <w:rPr>
          <w:i/>
          <w:color w:val="0D0D0D"/>
          <w:szCs w:val="24"/>
        </w:rPr>
        <w:t xml:space="preserve">1. </w:t>
      </w:r>
      <w:proofErr w:type="gramStart"/>
      <w:r>
        <w:rPr>
          <w:i/>
          <w:color w:val="0D0D0D"/>
          <w:szCs w:val="24"/>
        </w:rPr>
        <w:t>solicitação</w:t>
      </w:r>
      <w:proofErr w:type="gramEnd"/>
      <w:r>
        <w:rPr>
          <w:i/>
          <w:color w:val="0D0D0D"/>
          <w:szCs w:val="24"/>
        </w:rPr>
        <w:t xml:space="preserve"> do material ou serviço, com descrição clara do objeto </w:t>
      </w:r>
      <w:r>
        <w:rPr>
          <w:b/>
          <w:i/>
          <w:color w:val="0D0D0D"/>
          <w:szCs w:val="24"/>
        </w:rPr>
        <w:t>- fl.</w:t>
      </w:r>
      <w:r w:rsidR="00CC276E">
        <w:rPr>
          <w:b/>
          <w:i/>
          <w:color w:val="0D0D0D"/>
          <w:szCs w:val="24"/>
        </w:rPr>
        <w:t xml:space="preserve"> </w:t>
      </w:r>
      <w:r w:rsidR="00E02E3D">
        <w:rPr>
          <w:b/>
          <w:i/>
          <w:color w:val="0D0D0D"/>
          <w:szCs w:val="24"/>
        </w:rPr>
        <w:t>01</w:t>
      </w:r>
      <w:r w:rsidR="00A60E23">
        <w:rPr>
          <w:b/>
          <w:i/>
          <w:color w:val="0D0D0D"/>
          <w:szCs w:val="24"/>
        </w:rPr>
        <w:t>/03, 04, 05, 07 e 10</w:t>
      </w:r>
      <w:r>
        <w:rPr>
          <w:i/>
          <w:color w:val="0D0D0D"/>
          <w:szCs w:val="24"/>
        </w:rPr>
        <w:t>;</w:t>
      </w:r>
    </w:p>
    <w:p w:rsidR="00DF4F4F" w:rsidRDefault="00C73FAC" w:rsidP="00F120E9">
      <w:pPr>
        <w:ind w:left="1985"/>
        <w:jc w:val="both"/>
      </w:pPr>
      <w:r>
        <w:rPr>
          <w:i/>
          <w:color w:val="0D0D0D"/>
          <w:szCs w:val="24"/>
        </w:rPr>
        <w:t xml:space="preserve">2. </w:t>
      </w:r>
      <w:proofErr w:type="gramStart"/>
      <w:r>
        <w:rPr>
          <w:i/>
          <w:color w:val="0D0D0D"/>
          <w:szCs w:val="24"/>
        </w:rPr>
        <w:t>justificativa</w:t>
      </w:r>
      <w:proofErr w:type="gramEnd"/>
      <w:r>
        <w:rPr>
          <w:i/>
          <w:color w:val="0D0D0D"/>
          <w:szCs w:val="24"/>
        </w:rPr>
        <w:t xml:space="preserve"> da necessidade do objeto </w:t>
      </w:r>
      <w:r>
        <w:rPr>
          <w:b/>
          <w:i/>
          <w:color w:val="0D0D0D"/>
          <w:szCs w:val="24"/>
        </w:rPr>
        <w:t>–</w:t>
      </w:r>
      <w:r>
        <w:rPr>
          <w:i/>
          <w:color w:val="0D0D0D"/>
          <w:szCs w:val="24"/>
        </w:rPr>
        <w:t xml:space="preserve"> </w:t>
      </w:r>
      <w:r>
        <w:rPr>
          <w:b/>
          <w:i/>
          <w:color w:val="0D0D0D"/>
          <w:szCs w:val="24"/>
        </w:rPr>
        <w:t>fl</w:t>
      </w:r>
      <w:r w:rsidR="00A60E23">
        <w:rPr>
          <w:b/>
          <w:i/>
          <w:color w:val="0D0D0D"/>
          <w:szCs w:val="24"/>
        </w:rPr>
        <w:t>s</w:t>
      </w:r>
      <w:r>
        <w:rPr>
          <w:b/>
          <w:i/>
          <w:color w:val="0D0D0D"/>
          <w:szCs w:val="24"/>
        </w:rPr>
        <w:t>.</w:t>
      </w:r>
      <w:r w:rsidR="00D622DF">
        <w:rPr>
          <w:b/>
          <w:i/>
          <w:color w:val="0D0D0D"/>
          <w:szCs w:val="24"/>
        </w:rPr>
        <w:t xml:space="preserve"> </w:t>
      </w:r>
      <w:r w:rsidR="00A60E23">
        <w:rPr>
          <w:b/>
          <w:i/>
          <w:color w:val="0D0D0D"/>
          <w:szCs w:val="24"/>
        </w:rPr>
        <w:t>34/35</w:t>
      </w:r>
      <w:r>
        <w:rPr>
          <w:i/>
          <w:color w:val="0D0D0D"/>
          <w:szCs w:val="24"/>
        </w:rPr>
        <w:t>;</w:t>
      </w:r>
    </w:p>
    <w:p w:rsidR="00DF4F4F" w:rsidRDefault="00C73FAC" w:rsidP="00F120E9">
      <w:pPr>
        <w:ind w:left="1985"/>
        <w:jc w:val="both"/>
        <w:rPr>
          <w:b/>
          <w:i/>
          <w:color w:val="0D0D0D"/>
          <w:szCs w:val="24"/>
        </w:rPr>
      </w:pPr>
      <w:r>
        <w:rPr>
          <w:i/>
          <w:color w:val="0D0D0D"/>
          <w:szCs w:val="24"/>
        </w:rPr>
        <w:t xml:space="preserve">3. </w:t>
      </w:r>
      <w:proofErr w:type="gramStart"/>
      <w:r>
        <w:rPr>
          <w:i/>
          <w:color w:val="0D0D0D"/>
          <w:szCs w:val="24"/>
        </w:rPr>
        <w:t>caracterização</w:t>
      </w:r>
      <w:proofErr w:type="gramEnd"/>
      <w:r>
        <w:rPr>
          <w:i/>
          <w:color w:val="0D0D0D"/>
          <w:szCs w:val="24"/>
        </w:rPr>
        <w:t xml:space="preserve"> da situação emergencial ou calamitosa que justifique a dispensa, se for o caso; </w:t>
      </w:r>
      <w:r>
        <w:rPr>
          <w:b/>
          <w:i/>
          <w:color w:val="0D0D0D"/>
          <w:szCs w:val="24"/>
        </w:rPr>
        <w:t>- Não se aplica ao presente caso</w:t>
      </w:r>
    </w:p>
    <w:p w:rsidR="00DF4F4F" w:rsidRDefault="00C73FAC" w:rsidP="00F120E9">
      <w:pPr>
        <w:ind w:left="1985"/>
        <w:jc w:val="both"/>
      </w:pPr>
      <w:r>
        <w:rPr>
          <w:i/>
          <w:color w:val="0D0D0D"/>
          <w:szCs w:val="24"/>
        </w:rPr>
        <w:t xml:space="preserve">4. </w:t>
      </w:r>
      <w:proofErr w:type="gramStart"/>
      <w:r>
        <w:rPr>
          <w:i/>
          <w:color w:val="0D0D0D"/>
          <w:szCs w:val="24"/>
        </w:rPr>
        <w:t>elaboração</w:t>
      </w:r>
      <w:proofErr w:type="gramEnd"/>
      <w:r>
        <w:rPr>
          <w:i/>
          <w:color w:val="0D0D0D"/>
          <w:szCs w:val="24"/>
        </w:rPr>
        <w:t xml:space="preserve"> da especificação do objeto e, nas hipóteses de aquisição de material, da quantidade a ser adquirida - </w:t>
      </w:r>
      <w:r w:rsidR="00F850B2">
        <w:rPr>
          <w:b/>
          <w:i/>
          <w:color w:val="0D0D0D"/>
          <w:szCs w:val="24"/>
        </w:rPr>
        <w:t>fl</w:t>
      </w:r>
      <w:r w:rsidR="003B0B2E">
        <w:rPr>
          <w:b/>
          <w:i/>
          <w:color w:val="0D0D0D"/>
          <w:szCs w:val="24"/>
        </w:rPr>
        <w:t>s</w:t>
      </w:r>
      <w:r>
        <w:rPr>
          <w:b/>
          <w:i/>
          <w:color w:val="0D0D0D"/>
          <w:szCs w:val="24"/>
        </w:rPr>
        <w:t xml:space="preserve">. </w:t>
      </w:r>
      <w:r w:rsidR="00A60E23">
        <w:rPr>
          <w:b/>
          <w:i/>
          <w:color w:val="0D0D0D"/>
          <w:szCs w:val="24"/>
        </w:rPr>
        <w:t>34</w:t>
      </w:r>
      <w:r w:rsidR="003B0B2E">
        <w:rPr>
          <w:b/>
          <w:i/>
          <w:color w:val="0D0D0D"/>
          <w:szCs w:val="24"/>
        </w:rPr>
        <w:t>/</w:t>
      </w:r>
      <w:r w:rsidR="00A60E23">
        <w:rPr>
          <w:b/>
          <w:i/>
          <w:color w:val="0D0D0D"/>
          <w:szCs w:val="24"/>
        </w:rPr>
        <w:t>35</w:t>
      </w:r>
      <w:r>
        <w:rPr>
          <w:i/>
          <w:color w:val="0D0D0D"/>
          <w:szCs w:val="24"/>
        </w:rPr>
        <w:t>;</w:t>
      </w:r>
    </w:p>
    <w:p w:rsidR="00DF4F4F" w:rsidRDefault="00C73FAC" w:rsidP="00F120E9">
      <w:pPr>
        <w:ind w:left="1985"/>
        <w:jc w:val="both"/>
      </w:pPr>
      <w:r>
        <w:rPr>
          <w:i/>
          <w:color w:val="0D0D0D"/>
          <w:szCs w:val="24"/>
        </w:rPr>
        <w:t xml:space="preserve">5. </w:t>
      </w:r>
      <w:proofErr w:type="gramStart"/>
      <w:r>
        <w:rPr>
          <w:i/>
          <w:color w:val="0D0D0D"/>
          <w:szCs w:val="24"/>
        </w:rPr>
        <w:t>elaboração</w:t>
      </w:r>
      <w:proofErr w:type="gramEnd"/>
      <w:r>
        <w:rPr>
          <w:i/>
          <w:color w:val="0D0D0D"/>
          <w:szCs w:val="24"/>
        </w:rPr>
        <w:t xml:space="preserve"> de projetos básico e executivo para obras e serviços –</w:t>
      </w:r>
      <w:r>
        <w:rPr>
          <w:b/>
          <w:i/>
          <w:color w:val="0D0D0D"/>
          <w:szCs w:val="24"/>
        </w:rPr>
        <w:t xml:space="preserve"> fls. </w:t>
      </w:r>
      <w:r w:rsidR="00A60E23">
        <w:rPr>
          <w:b/>
          <w:i/>
          <w:color w:val="0D0D0D"/>
          <w:szCs w:val="24"/>
        </w:rPr>
        <w:t>34</w:t>
      </w:r>
      <w:r w:rsidR="0004796A">
        <w:rPr>
          <w:b/>
          <w:i/>
          <w:color w:val="0D0D0D"/>
          <w:szCs w:val="24"/>
        </w:rPr>
        <w:t>/</w:t>
      </w:r>
      <w:r w:rsidR="00A60E23">
        <w:rPr>
          <w:b/>
          <w:i/>
          <w:color w:val="0D0D0D"/>
          <w:szCs w:val="24"/>
        </w:rPr>
        <w:t>35</w:t>
      </w:r>
      <w:r>
        <w:rPr>
          <w:b/>
          <w:i/>
          <w:color w:val="0D0D0D"/>
          <w:szCs w:val="24"/>
        </w:rPr>
        <w:t xml:space="preserve"> (Termo de Referência)</w:t>
      </w:r>
      <w:r>
        <w:rPr>
          <w:i/>
          <w:color w:val="0D0D0D"/>
          <w:szCs w:val="24"/>
        </w:rPr>
        <w:t>;</w:t>
      </w:r>
    </w:p>
    <w:p w:rsidR="00DF4F4F" w:rsidRPr="00AF0729" w:rsidRDefault="00C73FAC" w:rsidP="00F120E9">
      <w:pPr>
        <w:ind w:left="1985"/>
        <w:jc w:val="both"/>
      </w:pPr>
      <w:r>
        <w:rPr>
          <w:i/>
          <w:color w:val="000000"/>
          <w:szCs w:val="24"/>
        </w:rPr>
        <w:t xml:space="preserve">6. </w:t>
      </w:r>
      <w:proofErr w:type="gramStart"/>
      <w:r>
        <w:rPr>
          <w:i/>
          <w:color w:val="000000"/>
          <w:szCs w:val="24"/>
        </w:rPr>
        <w:t>anexação</w:t>
      </w:r>
      <w:proofErr w:type="gramEnd"/>
      <w:r>
        <w:rPr>
          <w:i/>
          <w:color w:val="000000"/>
          <w:szCs w:val="24"/>
        </w:rPr>
        <w:t xml:space="preserve"> original das propostas – </w:t>
      </w:r>
      <w:r>
        <w:rPr>
          <w:b/>
          <w:i/>
          <w:color w:val="000000"/>
          <w:szCs w:val="24"/>
        </w:rPr>
        <w:t xml:space="preserve">fl. </w:t>
      </w:r>
      <w:r w:rsidR="00A60E23">
        <w:rPr>
          <w:b/>
          <w:i/>
          <w:color w:val="000000"/>
          <w:szCs w:val="24"/>
        </w:rPr>
        <w:t>31</w:t>
      </w:r>
      <w:r w:rsidR="009438D6">
        <w:rPr>
          <w:b/>
          <w:i/>
          <w:color w:val="000000"/>
          <w:szCs w:val="24"/>
        </w:rPr>
        <w:t xml:space="preserve"> (cópia)</w:t>
      </w:r>
      <w:r w:rsidRPr="00AF0729">
        <w:rPr>
          <w:i/>
          <w:color w:val="000000"/>
          <w:szCs w:val="24"/>
        </w:rPr>
        <w:t>;</w:t>
      </w:r>
    </w:p>
    <w:p w:rsidR="00DF4F4F" w:rsidRDefault="00C73FAC" w:rsidP="00F120E9">
      <w:pPr>
        <w:ind w:left="1985"/>
        <w:jc w:val="both"/>
      </w:pPr>
      <w:r>
        <w:rPr>
          <w:i/>
          <w:color w:val="0D0D0D"/>
          <w:szCs w:val="24"/>
          <w:highlight w:val="white"/>
        </w:rPr>
        <w:t xml:space="preserve">7. </w:t>
      </w:r>
      <w:proofErr w:type="gramStart"/>
      <w:r>
        <w:rPr>
          <w:i/>
          <w:color w:val="0D0D0D"/>
          <w:szCs w:val="24"/>
          <w:highlight w:val="white"/>
        </w:rPr>
        <w:t>anexação</w:t>
      </w:r>
      <w:proofErr w:type="gramEnd"/>
      <w:r>
        <w:rPr>
          <w:i/>
          <w:color w:val="0D0D0D"/>
          <w:szCs w:val="24"/>
          <w:highlight w:val="white"/>
        </w:rPr>
        <w:t xml:space="preserve"> do original ou cópia autenticada (ou conferida com o original) dos documentos de regularidade exigidos </w:t>
      </w:r>
      <w:r>
        <w:rPr>
          <w:b/>
          <w:i/>
          <w:color w:val="0D0D0D"/>
          <w:szCs w:val="24"/>
          <w:highlight w:val="white"/>
        </w:rPr>
        <w:t xml:space="preserve">– </w:t>
      </w:r>
      <w:r>
        <w:rPr>
          <w:b/>
          <w:i/>
          <w:color w:val="0D0D0D"/>
          <w:szCs w:val="24"/>
        </w:rPr>
        <w:t xml:space="preserve">fls. </w:t>
      </w:r>
      <w:r w:rsidR="00A60E23">
        <w:rPr>
          <w:b/>
          <w:i/>
          <w:color w:val="0D0D0D"/>
          <w:szCs w:val="24"/>
        </w:rPr>
        <w:t>44/50</w:t>
      </w:r>
      <w:r w:rsidRPr="00AF0729">
        <w:rPr>
          <w:i/>
          <w:color w:val="0D0D0D"/>
          <w:szCs w:val="24"/>
        </w:rPr>
        <w:t>;</w:t>
      </w:r>
    </w:p>
    <w:p w:rsidR="00DF4F4F" w:rsidRDefault="00C73FAC" w:rsidP="00F120E9">
      <w:pPr>
        <w:ind w:left="1985"/>
        <w:jc w:val="both"/>
      </w:pPr>
      <w:r>
        <w:rPr>
          <w:i/>
          <w:color w:val="0D0D0D"/>
          <w:szCs w:val="24"/>
          <w:highlight w:val="white"/>
        </w:rPr>
        <w:t xml:space="preserve">8. </w:t>
      </w:r>
      <w:proofErr w:type="gramStart"/>
      <w:r>
        <w:rPr>
          <w:i/>
          <w:color w:val="0D0D0D"/>
          <w:szCs w:val="24"/>
          <w:highlight w:val="white"/>
        </w:rPr>
        <w:t>indicação</w:t>
      </w:r>
      <w:proofErr w:type="gramEnd"/>
      <w:r>
        <w:rPr>
          <w:i/>
          <w:color w:val="0D0D0D"/>
          <w:szCs w:val="24"/>
          <w:highlight w:val="white"/>
        </w:rPr>
        <w:t xml:space="preserve"> dos recursos para a cobertura da despesa </w:t>
      </w:r>
      <w:r>
        <w:rPr>
          <w:b/>
          <w:i/>
          <w:color w:val="0D0D0D"/>
          <w:szCs w:val="24"/>
          <w:highlight w:val="white"/>
        </w:rPr>
        <w:t xml:space="preserve">– fl. </w:t>
      </w:r>
      <w:r w:rsidR="00A60E23">
        <w:rPr>
          <w:b/>
          <w:i/>
          <w:color w:val="0D0D0D"/>
          <w:szCs w:val="24"/>
          <w:highlight w:val="white"/>
        </w:rPr>
        <w:t>28/29</w:t>
      </w:r>
      <w:r>
        <w:rPr>
          <w:i/>
          <w:color w:val="0D0D0D"/>
          <w:szCs w:val="24"/>
          <w:highlight w:val="white"/>
        </w:rPr>
        <w:t>;</w:t>
      </w:r>
    </w:p>
    <w:p w:rsidR="00DF4F4F" w:rsidRDefault="00C73FAC" w:rsidP="00F120E9">
      <w:pPr>
        <w:ind w:left="1985"/>
        <w:jc w:val="both"/>
      </w:pPr>
      <w:r>
        <w:rPr>
          <w:i/>
          <w:color w:val="000000"/>
          <w:szCs w:val="24"/>
        </w:rPr>
        <w:t xml:space="preserve">9. </w:t>
      </w:r>
      <w:proofErr w:type="gramStart"/>
      <w:r>
        <w:rPr>
          <w:i/>
          <w:color w:val="000000"/>
          <w:szCs w:val="24"/>
        </w:rPr>
        <w:t>razões</w:t>
      </w:r>
      <w:proofErr w:type="gramEnd"/>
      <w:r>
        <w:rPr>
          <w:i/>
          <w:color w:val="000000"/>
          <w:szCs w:val="24"/>
        </w:rPr>
        <w:t xml:space="preserve"> da escolha do executante da obra ou do prestador do serviço ou do fornecedor do bem – </w:t>
      </w:r>
      <w:r w:rsidR="00DC7196">
        <w:rPr>
          <w:b/>
          <w:bCs/>
          <w:i/>
          <w:color w:val="000000"/>
          <w:szCs w:val="24"/>
        </w:rPr>
        <w:t xml:space="preserve">fl. </w:t>
      </w:r>
      <w:r w:rsidR="00DD6B97">
        <w:rPr>
          <w:b/>
          <w:bCs/>
          <w:i/>
          <w:color w:val="000000"/>
          <w:szCs w:val="24"/>
        </w:rPr>
        <w:t>62</w:t>
      </w:r>
      <w:r w:rsidRPr="005A0EB3">
        <w:rPr>
          <w:bCs/>
          <w:i/>
          <w:color w:val="000000"/>
          <w:szCs w:val="24"/>
        </w:rPr>
        <w:t>;</w:t>
      </w:r>
    </w:p>
    <w:p w:rsidR="00DF4F4F" w:rsidRDefault="00C73FAC" w:rsidP="00F120E9">
      <w:pPr>
        <w:ind w:left="1985"/>
        <w:jc w:val="both"/>
        <w:rPr>
          <w:szCs w:val="24"/>
        </w:rPr>
      </w:pPr>
      <w:r>
        <w:rPr>
          <w:i/>
          <w:color w:val="000000"/>
          <w:szCs w:val="24"/>
        </w:rPr>
        <w:t xml:space="preserve">10. </w:t>
      </w:r>
      <w:proofErr w:type="gramStart"/>
      <w:r>
        <w:rPr>
          <w:i/>
          <w:color w:val="000000"/>
          <w:szCs w:val="24"/>
        </w:rPr>
        <w:t>declaração</w:t>
      </w:r>
      <w:proofErr w:type="gramEnd"/>
      <w:r>
        <w:rPr>
          <w:i/>
          <w:color w:val="000000"/>
          <w:szCs w:val="24"/>
        </w:rPr>
        <w:t xml:space="preserve"> de exclusividade expedida pelo órgão competente, no caso de inexigibilidade; </w:t>
      </w:r>
      <w:r w:rsidR="005D5144">
        <w:rPr>
          <w:i/>
          <w:color w:val="000000"/>
          <w:szCs w:val="24"/>
        </w:rPr>
        <w:t xml:space="preserve">- </w:t>
      </w:r>
      <w:r w:rsidR="005D5144">
        <w:rPr>
          <w:b/>
          <w:i/>
          <w:color w:val="0D0D0D"/>
          <w:szCs w:val="24"/>
        </w:rPr>
        <w:t>Não se aplica ao presente caso</w:t>
      </w:r>
    </w:p>
    <w:p w:rsidR="00DF4F4F" w:rsidRPr="0062601B" w:rsidRDefault="00C73FAC" w:rsidP="00F120E9">
      <w:pPr>
        <w:ind w:left="1985"/>
        <w:jc w:val="both"/>
        <w:rPr>
          <w:i/>
        </w:rPr>
      </w:pPr>
      <w:r>
        <w:rPr>
          <w:i/>
          <w:color w:val="0D0D0D"/>
          <w:szCs w:val="24"/>
        </w:rPr>
        <w:t xml:space="preserve">11. </w:t>
      </w:r>
      <w:proofErr w:type="gramStart"/>
      <w:r>
        <w:rPr>
          <w:i/>
          <w:color w:val="0D0D0D"/>
          <w:szCs w:val="24"/>
        </w:rPr>
        <w:t>justificativa</w:t>
      </w:r>
      <w:proofErr w:type="gramEnd"/>
      <w:r>
        <w:rPr>
          <w:i/>
          <w:color w:val="0D0D0D"/>
          <w:szCs w:val="24"/>
        </w:rPr>
        <w:t xml:space="preserve"> das situações de dispensa ou de inexigibilidade de licitação, com os elementos necessários à sua caracterização, conforme o caso – </w:t>
      </w:r>
      <w:r>
        <w:rPr>
          <w:b/>
          <w:i/>
          <w:color w:val="0D0D0D"/>
          <w:szCs w:val="24"/>
        </w:rPr>
        <w:t xml:space="preserve">fl. </w:t>
      </w:r>
      <w:r w:rsidR="00DD6B97">
        <w:rPr>
          <w:b/>
          <w:i/>
          <w:color w:val="0D0D0D"/>
          <w:szCs w:val="24"/>
        </w:rPr>
        <w:t>62</w:t>
      </w:r>
      <w:r>
        <w:rPr>
          <w:i/>
          <w:color w:val="0D0D0D"/>
          <w:szCs w:val="24"/>
        </w:rPr>
        <w:t>;</w:t>
      </w:r>
    </w:p>
    <w:p w:rsidR="00DF4F4F" w:rsidRDefault="00C73FAC" w:rsidP="00F120E9">
      <w:pPr>
        <w:ind w:left="1985"/>
        <w:jc w:val="both"/>
      </w:pPr>
      <w:r>
        <w:rPr>
          <w:i/>
          <w:color w:val="000000"/>
          <w:szCs w:val="24"/>
          <w:highlight w:val="white"/>
        </w:rPr>
        <w:t xml:space="preserve">12. </w:t>
      </w:r>
      <w:proofErr w:type="gramStart"/>
      <w:r>
        <w:rPr>
          <w:i/>
          <w:color w:val="000000"/>
          <w:szCs w:val="24"/>
          <w:highlight w:val="white"/>
        </w:rPr>
        <w:t>justificativa</w:t>
      </w:r>
      <w:proofErr w:type="gramEnd"/>
      <w:r>
        <w:rPr>
          <w:i/>
          <w:color w:val="000000"/>
          <w:szCs w:val="24"/>
          <w:highlight w:val="white"/>
        </w:rPr>
        <w:t xml:space="preserve"> do preço </w:t>
      </w:r>
      <w:r>
        <w:rPr>
          <w:b/>
          <w:i/>
          <w:color w:val="000000"/>
          <w:szCs w:val="24"/>
          <w:highlight w:val="white"/>
        </w:rPr>
        <w:t xml:space="preserve">– </w:t>
      </w:r>
      <w:r w:rsidR="00DD6B97">
        <w:rPr>
          <w:b/>
          <w:i/>
          <w:color w:val="000000"/>
          <w:szCs w:val="24"/>
          <w:highlight w:val="white"/>
        </w:rPr>
        <w:t>ausente</w:t>
      </w:r>
      <w:r>
        <w:rPr>
          <w:i/>
          <w:color w:val="000000"/>
          <w:szCs w:val="24"/>
          <w:highlight w:val="white"/>
        </w:rPr>
        <w:t>;</w:t>
      </w:r>
    </w:p>
    <w:p w:rsidR="00DF4F4F" w:rsidRDefault="00C73FAC" w:rsidP="00F120E9">
      <w:pPr>
        <w:ind w:left="1985"/>
        <w:jc w:val="both"/>
        <w:rPr>
          <w:i/>
          <w:color w:val="0D0D0D"/>
          <w:szCs w:val="24"/>
        </w:rPr>
      </w:pPr>
      <w:r>
        <w:rPr>
          <w:i/>
          <w:color w:val="0D0D0D"/>
          <w:szCs w:val="24"/>
        </w:rPr>
        <w:lastRenderedPageBreak/>
        <w:t xml:space="preserve">13. </w:t>
      </w:r>
      <w:proofErr w:type="gramStart"/>
      <w:r>
        <w:rPr>
          <w:i/>
          <w:color w:val="0D0D0D"/>
          <w:szCs w:val="24"/>
        </w:rPr>
        <w:t>pareceres</w:t>
      </w:r>
      <w:proofErr w:type="gramEnd"/>
      <w:r>
        <w:rPr>
          <w:i/>
          <w:color w:val="0D0D0D"/>
          <w:szCs w:val="24"/>
        </w:rPr>
        <w:t xml:space="preserve"> técnicos ou jurídicos;</w:t>
      </w:r>
    </w:p>
    <w:p w:rsidR="00DF4F4F" w:rsidRDefault="00C73FAC" w:rsidP="00F120E9">
      <w:pPr>
        <w:ind w:left="1985"/>
        <w:jc w:val="both"/>
        <w:rPr>
          <w:b/>
          <w:i/>
          <w:color w:val="0D0D0D"/>
          <w:szCs w:val="24"/>
        </w:rPr>
      </w:pPr>
      <w:r>
        <w:rPr>
          <w:i/>
          <w:color w:val="0D0D0D"/>
          <w:szCs w:val="24"/>
        </w:rPr>
        <w:t xml:space="preserve">14. </w:t>
      </w:r>
      <w:proofErr w:type="gramStart"/>
      <w:r>
        <w:rPr>
          <w:i/>
          <w:color w:val="0D0D0D"/>
          <w:szCs w:val="24"/>
        </w:rPr>
        <w:t>documento</w:t>
      </w:r>
      <w:proofErr w:type="gramEnd"/>
      <w:r>
        <w:rPr>
          <w:i/>
          <w:color w:val="0D0D0D"/>
          <w:szCs w:val="24"/>
        </w:rPr>
        <w:t xml:space="preserve"> de aprovação dos projetos de pesquisa para aos quais os bens serão alocados; </w:t>
      </w:r>
      <w:r>
        <w:rPr>
          <w:b/>
          <w:i/>
          <w:color w:val="0D0D0D"/>
          <w:szCs w:val="24"/>
        </w:rPr>
        <w:t>- Não se aplica ao presente caso</w:t>
      </w:r>
    </w:p>
    <w:p w:rsidR="00DF4F4F" w:rsidRDefault="00C73FAC" w:rsidP="00F120E9">
      <w:pPr>
        <w:ind w:left="1985"/>
        <w:jc w:val="both"/>
      </w:pPr>
      <w:r>
        <w:rPr>
          <w:i/>
          <w:color w:val="0D0D0D"/>
          <w:szCs w:val="24"/>
          <w:highlight w:val="white"/>
        </w:rPr>
        <w:t xml:space="preserve">15. </w:t>
      </w:r>
      <w:proofErr w:type="gramStart"/>
      <w:r>
        <w:rPr>
          <w:i/>
          <w:color w:val="0D0D0D"/>
          <w:szCs w:val="24"/>
          <w:highlight w:val="white"/>
        </w:rPr>
        <w:t>autorização</w:t>
      </w:r>
      <w:proofErr w:type="gramEnd"/>
      <w:r>
        <w:rPr>
          <w:i/>
          <w:color w:val="0D0D0D"/>
          <w:szCs w:val="24"/>
          <w:highlight w:val="white"/>
        </w:rPr>
        <w:t xml:space="preserve"> do ordenador de despesa </w:t>
      </w:r>
      <w:r>
        <w:rPr>
          <w:b/>
          <w:i/>
          <w:color w:val="0D0D0D"/>
          <w:szCs w:val="24"/>
          <w:highlight w:val="white"/>
        </w:rPr>
        <w:t xml:space="preserve">– fl. </w:t>
      </w:r>
      <w:r w:rsidR="00DD6B97">
        <w:rPr>
          <w:b/>
          <w:i/>
          <w:color w:val="0D0D0D"/>
          <w:szCs w:val="24"/>
          <w:highlight w:val="white"/>
        </w:rPr>
        <w:t>43</w:t>
      </w:r>
      <w:r>
        <w:rPr>
          <w:i/>
          <w:color w:val="0D0D0D"/>
          <w:szCs w:val="24"/>
          <w:highlight w:val="white"/>
        </w:rPr>
        <w:t>;</w:t>
      </w:r>
    </w:p>
    <w:p w:rsidR="00DF4F4F" w:rsidRDefault="00C73FAC" w:rsidP="00F120E9">
      <w:pPr>
        <w:ind w:left="1985"/>
        <w:jc w:val="both"/>
        <w:rPr>
          <w:i/>
          <w:color w:val="0D0D0D"/>
          <w:szCs w:val="24"/>
        </w:rPr>
      </w:pPr>
      <w:r>
        <w:rPr>
          <w:i/>
          <w:color w:val="0D0D0D"/>
          <w:szCs w:val="24"/>
        </w:rPr>
        <w:t xml:space="preserve">16. </w:t>
      </w:r>
      <w:proofErr w:type="gramStart"/>
      <w:r>
        <w:rPr>
          <w:i/>
          <w:color w:val="0D0D0D"/>
          <w:szCs w:val="24"/>
        </w:rPr>
        <w:t>comunicação</w:t>
      </w:r>
      <w:proofErr w:type="gramEnd"/>
      <w:r>
        <w:rPr>
          <w:i/>
          <w:color w:val="0D0D0D"/>
          <w:szCs w:val="24"/>
        </w:rPr>
        <w:t xml:space="preserve"> à autoridade superior, no prazo de três dias, da dispensa ou da situação de inexigibilidade de licitação;</w:t>
      </w:r>
    </w:p>
    <w:p w:rsidR="00DF4F4F" w:rsidRDefault="00C73FAC" w:rsidP="00F120E9">
      <w:pPr>
        <w:ind w:left="1985"/>
        <w:jc w:val="both"/>
        <w:rPr>
          <w:i/>
          <w:color w:val="0D0D0D"/>
          <w:szCs w:val="24"/>
        </w:rPr>
      </w:pPr>
      <w:r>
        <w:rPr>
          <w:i/>
          <w:color w:val="0D0D0D"/>
          <w:szCs w:val="24"/>
        </w:rPr>
        <w:t xml:space="preserve">17. </w:t>
      </w:r>
      <w:proofErr w:type="gramStart"/>
      <w:r>
        <w:rPr>
          <w:i/>
          <w:color w:val="0D0D0D"/>
          <w:szCs w:val="24"/>
        </w:rPr>
        <w:t>ratificação</w:t>
      </w:r>
      <w:proofErr w:type="gramEnd"/>
      <w:r>
        <w:rPr>
          <w:i/>
          <w:color w:val="0D0D0D"/>
          <w:szCs w:val="24"/>
        </w:rPr>
        <w:t xml:space="preserve"> e publicação da dispensa ou da inexigibilidade de licitação na imprensa oficial, no prazo de cinco dias, a contar do recebimento do processo pela autoridade superior;</w:t>
      </w:r>
    </w:p>
    <w:p w:rsidR="00DF4F4F" w:rsidRDefault="00C73FAC" w:rsidP="00F120E9">
      <w:pPr>
        <w:ind w:left="1985"/>
        <w:jc w:val="both"/>
        <w:rPr>
          <w:i/>
          <w:color w:val="0D0D0D"/>
          <w:szCs w:val="24"/>
        </w:rPr>
      </w:pPr>
      <w:r>
        <w:rPr>
          <w:i/>
          <w:color w:val="0D0D0D"/>
          <w:szCs w:val="24"/>
        </w:rPr>
        <w:t xml:space="preserve">18. </w:t>
      </w:r>
      <w:proofErr w:type="gramStart"/>
      <w:r>
        <w:rPr>
          <w:i/>
          <w:color w:val="0D0D0D"/>
          <w:szCs w:val="24"/>
        </w:rPr>
        <w:t>inclusão</w:t>
      </w:r>
      <w:proofErr w:type="gramEnd"/>
      <w:r>
        <w:rPr>
          <w:i/>
          <w:color w:val="0D0D0D"/>
          <w:szCs w:val="24"/>
        </w:rPr>
        <w:t xml:space="preserve"> de quaisquer outros documentos relativos à inexigibilidade;</w:t>
      </w:r>
    </w:p>
    <w:p w:rsidR="00DF4F4F" w:rsidRDefault="00C73FAC" w:rsidP="00F120E9">
      <w:pPr>
        <w:pStyle w:val="western"/>
        <w:spacing w:before="0" w:line="240" w:lineRule="auto"/>
        <w:ind w:left="1985"/>
        <w:rPr>
          <w:rFonts w:ascii="Times New Roman" w:eastAsia="Times New Roman" w:hAnsi="Times New Roman" w:cs="Times New Roman"/>
          <w:i/>
          <w:color w:val="0D0D0D"/>
        </w:rPr>
      </w:pPr>
      <w:r>
        <w:rPr>
          <w:rFonts w:ascii="Times New Roman" w:hAnsi="Times New Roman" w:cs="Times New Roman"/>
          <w:i/>
          <w:color w:val="0D0D0D"/>
        </w:rPr>
        <w:t>19.</w:t>
      </w:r>
      <w:r>
        <w:rPr>
          <w:rFonts w:ascii="Times New Roman" w:eastAsia="Times New Roman" w:hAnsi="Times New Roman" w:cs="Times New Roman"/>
          <w:i/>
          <w:color w:val="0D0D0D"/>
        </w:rPr>
        <w:t xml:space="preserve"> </w:t>
      </w:r>
      <w:proofErr w:type="gramStart"/>
      <w:r>
        <w:rPr>
          <w:rFonts w:ascii="Times New Roman" w:hAnsi="Times New Roman" w:cs="Times New Roman"/>
          <w:i/>
          <w:color w:val="0D0D0D"/>
        </w:rPr>
        <w:t>assinatura</w:t>
      </w:r>
      <w:proofErr w:type="gramEnd"/>
      <w:r>
        <w:rPr>
          <w:rFonts w:ascii="Times New Roman" w:eastAsia="Times New Roman" w:hAnsi="Times New Roman" w:cs="Times New Roman"/>
          <w:i/>
          <w:color w:val="0D0D0D"/>
        </w:rPr>
        <w:t xml:space="preserve"> </w:t>
      </w:r>
      <w:r>
        <w:rPr>
          <w:rFonts w:ascii="Times New Roman" w:hAnsi="Times New Roman" w:cs="Times New Roman"/>
          <w:i/>
          <w:color w:val="0D0D0D"/>
        </w:rPr>
        <w:t>de</w:t>
      </w:r>
      <w:r>
        <w:rPr>
          <w:rFonts w:ascii="Times New Roman" w:eastAsia="Times New Roman" w:hAnsi="Times New Roman" w:cs="Times New Roman"/>
          <w:i/>
          <w:color w:val="0D0D0D"/>
        </w:rPr>
        <w:t xml:space="preserve"> </w:t>
      </w:r>
      <w:r>
        <w:rPr>
          <w:rFonts w:ascii="Times New Roman" w:hAnsi="Times New Roman" w:cs="Times New Roman"/>
          <w:i/>
          <w:color w:val="0D0D0D"/>
        </w:rPr>
        <w:t>contrato</w:t>
      </w:r>
      <w:r>
        <w:rPr>
          <w:rFonts w:ascii="Times New Roman" w:eastAsia="Times New Roman" w:hAnsi="Times New Roman" w:cs="Times New Roman"/>
          <w:i/>
          <w:color w:val="0D0D0D"/>
        </w:rPr>
        <w:t xml:space="preserve"> </w:t>
      </w:r>
      <w:r>
        <w:rPr>
          <w:rFonts w:ascii="Times New Roman" w:hAnsi="Times New Roman" w:cs="Times New Roman"/>
          <w:i/>
          <w:color w:val="0D0D0D"/>
        </w:rPr>
        <w:t>ou</w:t>
      </w:r>
      <w:r>
        <w:rPr>
          <w:rFonts w:ascii="Times New Roman" w:eastAsia="Times New Roman" w:hAnsi="Times New Roman" w:cs="Times New Roman"/>
          <w:i/>
          <w:color w:val="0D0D0D"/>
        </w:rPr>
        <w:t xml:space="preserve"> </w:t>
      </w:r>
      <w:r>
        <w:rPr>
          <w:rFonts w:ascii="Times New Roman" w:hAnsi="Times New Roman" w:cs="Times New Roman"/>
          <w:i/>
          <w:color w:val="0D0D0D"/>
        </w:rPr>
        <w:t>documento</w:t>
      </w:r>
      <w:r>
        <w:rPr>
          <w:rFonts w:ascii="Times New Roman" w:eastAsia="Times New Roman" w:hAnsi="Times New Roman" w:cs="Times New Roman"/>
          <w:i/>
          <w:color w:val="0D0D0D"/>
        </w:rPr>
        <w:t xml:space="preserve"> </w:t>
      </w:r>
      <w:r>
        <w:rPr>
          <w:rFonts w:ascii="Times New Roman" w:hAnsi="Times New Roman" w:cs="Times New Roman"/>
          <w:i/>
          <w:color w:val="0D0D0D"/>
        </w:rPr>
        <w:t>equivalente.</w:t>
      </w:r>
      <w:r>
        <w:rPr>
          <w:rFonts w:ascii="Times New Roman" w:eastAsia="Times New Roman" w:hAnsi="Times New Roman" w:cs="Times New Roman"/>
          <w:i/>
          <w:color w:val="0D0D0D"/>
        </w:rPr>
        <w:t>”</w:t>
      </w:r>
    </w:p>
    <w:p w:rsidR="00DF4F4F" w:rsidRDefault="00DF4F4F">
      <w:pPr>
        <w:pStyle w:val="TituloPROCANAC"/>
        <w:tabs>
          <w:tab w:val="left" w:pos="709"/>
          <w:tab w:val="left" w:pos="2355"/>
        </w:tabs>
        <w:spacing w:before="0" w:line="360" w:lineRule="auto"/>
        <w:ind w:left="0" w:firstLine="0"/>
        <w:rPr>
          <w:lang w:eastAsia="pt-BR"/>
        </w:rPr>
      </w:pPr>
    </w:p>
    <w:p w:rsidR="00DF4F4F" w:rsidRDefault="009B7DEF">
      <w:pPr>
        <w:pStyle w:val="TituloPROCANAC"/>
        <w:tabs>
          <w:tab w:val="left" w:pos="709"/>
        </w:tabs>
        <w:spacing w:before="0" w:line="360" w:lineRule="auto"/>
        <w:ind w:left="0" w:firstLine="0"/>
        <w:rPr>
          <w:lang w:eastAsia="pt-BR"/>
        </w:rPr>
      </w:pPr>
      <w:r>
        <w:rPr>
          <w:lang w:eastAsia="pt-BR"/>
        </w:rPr>
        <w:t>39</w:t>
      </w:r>
      <w:r w:rsidR="00C73FAC">
        <w:rPr>
          <w:lang w:eastAsia="pt-BR"/>
        </w:rPr>
        <w:t>.</w:t>
      </w:r>
      <w:r w:rsidR="00C73FAC">
        <w:rPr>
          <w:lang w:eastAsia="pt-BR"/>
        </w:rPr>
        <w:tab/>
        <w:t xml:space="preserve">Necessário esclarecer que, como premissa para a realização de qualquer licitação, a Lei nº 8.666/93 estabelece, em seu art. 7º, a obrigatoriedade da existência de projeto básico aprovado pela autoridade competente e disponível para exame dos interessados em participar do certame licitatório, implicando nulidade dos atos praticados a infringência desta norma. O próprio §9º e o Tribunal de Contas da União entendem que o projeto básico é obrigatório também e aplica-se, </w:t>
      </w:r>
      <w:r w:rsidR="00C73FAC">
        <w:rPr>
          <w:b/>
          <w:lang w:eastAsia="pt-BR"/>
        </w:rPr>
        <w:t>no que couber</w:t>
      </w:r>
      <w:r w:rsidR="00C73FAC">
        <w:rPr>
          <w:rFonts w:eastAsia="MyriadPro-Regular"/>
          <w:b/>
          <w:lang w:eastAsia="pt-BR"/>
        </w:rPr>
        <w:t>,</w:t>
      </w:r>
      <w:r w:rsidR="00C73FAC">
        <w:rPr>
          <w:lang w:eastAsia="pt-BR"/>
        </w:rPr>
        <w:t xml:space="preserve"> nas contratações diretas por dispensa </w:t>
      </w:r>
      <w:r w:rsidR="00C73FAC">
        <w:rPr>
          <w:rFonts w:eastAsia="MyriadPro-Regular"/>
          <w:lang w:eastAsia="pt-BR"/>
        </w:rPr>
        <w:t>ou</w:t>
      </w:r>
      <w:r w:rsidR="00C73FAC">
        <w:rPr>
          <w:lang w:eastAsia="pt-BR"/>
        </w:rPr>
        <w:t xml:space="preserve"> inexigibilidade de licitação, </w:t>
      </w:r>
      <w:r w:rsidR="00C73FAC">
        <w:rPr>
          <w:b/>
          <w:u w:val="single"/>
          <w:lang w:eastAsia="pt-BR"/>
        </w:rPr>
        <w:t>o</w:t>
      </w:r>
      <w:r w:rsidR="00C73FAC">
        <w:rPr>
          <w:u w:val="single"/>
          <w:lang w:eastAsia="pt-BR"/>
        </w:rPr>
        <w:t xml:space="preserve"> </w:t>
      </w:r>
      <w:r w:rsidR="00C73FAC">
        <w:rPr>
          <w:rFonts w:eastAsia="MyriadPro-Regular"/>
          <w:b/>
          <w:u w:val="single"/>
          <w:lang w:eastAsia="pt-BR"/>
        </w:rPr>
        <w:t>qual</w:t>
      </w:r>
      <w:r w:rsidR="00C73FAC">
        <w:rPr>
          <w:b/>
          <w:u w:val="single"/>
          <w:lang w:eastAsia="pt-BR"/>
        </w:rPr>
        <w:t xml:space="preserve"> se encontra presente no processo em análi</w:t>
      </w:r>
      <w:r w:rsidR="00C73FAC">
        <w:rPr>
          <w:b/>
          <w:highlight w:val="white"/>
          <w:u w:val="single"/>
          <w:lang w:eastAsia="pt-BR"/>
        </w:rPr>
        <w:t xml:space="preserve">se (Termo de Referência - fls. </w:t>
      </w:r>
      <w:r w:rsidR="001B1BED">
        <w:rPr>
          <w:b/>
          <w:highlight w:val="white"/>
          <w:u w:val="single"/>
          <w:lang w:eastAsia="pt-BR"/>
        </w:rPr>
        <w:t>34</w:t>
      </w:r>
      <w:r w:rsidR="00B2352D">
        <w:rPr>
          <w:b/>
          <w:highlight w:val="white"/>
          <w:u w:val="single"/>
          <w:lang w:eastAsia="pt-BR"/>
        </w:rPr>
        <w:t>/</w:t>
      </w:r>
      <w:r w:rsidR="001B1BED">
        <w:rPr>
          <w:b/>
          <w:highlight w:val="white"/>
          <w:u w:val="single"/>
          <w:lang w:eastAsia="pt-BR"/>
        </w:rPr>
        <w:t>42</w:t>
      </w:r>
      <w:r w:rsidR="00C73FAC">
        <w:rPr>
          <w:b/>
          <w:highlight w:val="white"/>
          <w:u w:val="single"/>
          <w:lang w:eastAsia="pt-BR"/>
        </w:rPr>
        <w:t>).</w:t>
      </w:r>
      <w:r w:rsidR="00C23C2E">
        <w:rPr>
          <w:b/>
          <w:u w:val="single"/>
          <w:lang w:eastAsia="pt-BR"/>
        </w:rPr>
        <w:t xml:space="preserve"> O modelo de Termo de Refer</w:t>
      </w:r>
      <w:r w:rsidR="00046256">
        <w:rPr>
          <w:b/>
          <w:u w:val="single"/>
          <w:lang w:eastAsia="pt-BR"/>
        </w:rPr>
        <w:t>ê</w:t>
      </w:r>
      <w:r w:rsidR="00C23C2E">
        <w:rPr>
          <w:b/>
          <w:u w:val="single"/>
          <w:lang w:eastAsia="pt-BR"/>
        </w:rPr>
        <w:t>ncia a ser utilizado, repise-se, deve ser o apresentado no Anexo III.</w:t>
      </w:r>
    </w:p>
    <w:p w:rsidR="00A87A75" w:rsidRDefault="00A87A75">
      <w:pPr>
        <w:pStyle w:val="TituloPROCANAC"/>
        <w:tabs>
          <w:tab w:val="left" w:pos="709"/>
        </w:tabs>
        <w:spacing w:before="0" w:line="360" w:lineRule="auto"/>
        <w:ind w:left="0" w:firstLine="0"/>
        <w:rPr>
          <w:lang w:eastAsia="pt-BR"/>
        </w:rPr>
      </w:pPr>
    </w:p>
    <w:p w:rsidR="00332BD0" w:rsidRDefault="009B7DEF">
      <w:pPr>
        <w:pStyle w:val="TituloPROCANAC"/>
        <w:tabs>
          <w:tab w:val="left" w:pos="709"/>
        </w:tabs>
        <w:spacing w:before="0" w:line="360" w:lineRule="auto"/>
        <w:ind w:left="0" w:firstLine="0"/>
        <w:rPr>
          <w:b/>
          <w:highlight w:val="white"/>
          <w:u w:val="single"/>
          <w:lang w:eastAsia="pt-BR"/>
        </w:rPr>
      </w:pPr>
      <w:r>
        <w:rPr>
          <w:color w:val="000000"/>
        </w:rPr>
        <w:t>40</w:t>
      </w:r>
      <w:r w:rsidR="00332BD0">
        <w:rPr>
          <w:color w:val="000000"/>
        </w:rPr>
        <w:t>.</w:t>
      </w:r>
      <w:r w:rsidR="00332BD0">
        <w:rPr>
          <w:color w:val="000000"/>
        </w:rPr>
        <w:tab/>
      </w:r>
      <w:r w:rsidR="00332BD0">
        <w:t xml:space="preserve">Quanto à </w:t>
      </w:r>
      <w:r w:rsidR="00332BD0">
        <w:rPr>
          <w:b/>
        </w:rPr>
        <w:t>razão para a escolha</w:t>
      </w:r>
      <w:r w:rsidR="00332BD0">
        <w:t>, já fora abordada acima, quando dos argumentos sobre a notória especialização e a singularidade do serviço. Assim, presentes as justificativas da singularidade do objeto e da notória especialização, dá-se por existente a justificativa de razão da escolha do fornecedor.</w:t>
      </w:r>
    </w:p>
    <w:p w:rsidR="00332BD0" w:rsidRDefault="00332BD0">
      <w:pPr>
        <w:pStyle w:val="TituloPROCANAC"/>
        <w:tabs>
          <w:tab w:val="left" w:pos="709"/>
        </w:tabs>
        <w:spacing w:before="0" w:line="360" w:lineRule="auto"/>
        <w:ind w:left="0" w:firstLine="0"/>
        <w:rPr>
          <w:b/>
          <w:highlight w:val="white"/>
          <w:u w:val="single"/>
          <w:lang w:eastAsia="pt-BR"/>
        </w:rPr>
      </w:pPr>
    </w:p>
    <w:p w:rsidR="00DF4F4F" w:rsidRDefault="009B7DEF">
      <w:pPr>
        <w:pStyle w:val="TituloPROCANAC"/>
        <w:tabs>
          <w:tab w:val="left" w:pos="709"/>
        </w:tabs>
        <w:spacing w:before="0" w:line="360" w:lineRule="auto"/>
        <w:ind w:left="0" w:firstLine="0"/>
      </w:pPr>
      <w:r>
        <w:rPr>
          <w:highlight w:val="white"/>
          <w:lang w:eastAsia="pt-BR"/>
        </w:rPr>
        <w:t>41</w:t>
      </w:r>
      <w:r w:rsidR="00C73FAC">
        <w:rPr>
          <w:highlight w:val="white"/>
          <w:lang w:eastAsia="pt-BR"/>
        </w:rPr>
        <w:t>.</w:t>
      </w:r>
      <w:r w:rsidR="00C73FAC">
        <w:rPr>
          <w:highlight w:val="white"/>
          <w:lang w:eastAsia="pt-BR"/>
        </w:rPr>
        <w:tab/>
        <w:t xml:space="preserve">No que se refere à justificativa do preço, </w:t>
      </w:r>
      <w:r w:rsidR="00C73FAC">
        <w:rPr>
          <w:highlight w:val="white"/>
        </w:rPr>
        <w:t>sabe-se que a Administração deverá, entre outras formalidades, justificar o preço da contratação pretendida, o que deve ser feito mediante a comparação da proposta apresentada com preços praticados pela futura contratada junto a outros órgãos públicos ou pessoas privadas, consoante previsão inserta na Orientação Normativa n. 17, de 1º de abril de 2009, da Advocacia Geral da União.</w:t>
      </w:r>
    </w:p>
    <w:p w:rsidR="00DF4F4F" w:rsidRDefault="00DF4F4F">
      <w:pPr>
        <w:pStyle w:val="WW-Corpodetexto2"/>
        <w:spacing w:line="360" w:lineRule="auto"/>
        <w:ind w:left="2268"/>
        <w:rPr>
          <w:rFonts w:ascii="Times New Roman" w:hAnsi="Times New Roman" w:cs="Times New Roman"/>
          <w:szCs w:val="24"/>
          <w:highlight w:val="yellow"/>
        </w:rPr>
      </w:pPr>
    </w:p>
    <w:p w:rsidR="00DF4F4F" w:rsidRDefault="00C73FAC">
      <w:pPr>
        <w:pStyle w:val="WW-Corpodetexto2"/>
        <w:spacing w:line="360" w:lineRule="auto"/>
        <w:ind w:left="2268"/>
        <w:rPr>
          <w:rFonts w:ascii="Times New Roman" w:hAnsi="Times New Roman" w:cs="Times New Roman"/>
          <w:szCs w:val="24"/>
        </w:rPr>
      </w:pPr>
      <w:r>
        <w:rPr>
          <w:rFonts w:ascii="Times New Roman" w:hAnsi="Times New Roman" w:cs="Times New Roman"/>
          <w:b/>
          <w:i/>
          <w:szCs w:val="24"/>
          <w:u w:val="single"/>
        </w:rPr>
        <w:t xml:space="preserve">ORIENTAÇÃO NORMATIVA Nº 17, DE 1º DE ABRIL DE 2009 </w:t>
      </w:r>
      <w:r>
        <w:rPr>
          <w:rFonts w:ascii="Times New Roman" w:hAnsi="Times New Roman" w:cs="Times New Roman"/>
          <w:b/>
          <w:i/>
          <w:szCs w:val="24"/>
          <w:u w:val="single"/>
        </w:rPr>
        <w:br/>
      </w:r>
      <w:r>
        <w:rPr>
          <w:rFonts w:ascii="Times New Roman" w:hAnsi="Times New Roman" w:cs="Times New Roman"/>
          <w:b/>
          <w:i/>
          <w:szCs w:val="24"/>
          <w:u w:val="single"/>
        </w:rPr>
        <w:br/>
      </w:r>
      <w:r>
        <w:rPr>
          <w:rFonts w:ascii="Times New Roman" w:hAnsi="Times New Roman" w:cs="Times New Roman"/>
          <w:b/>
          <w:i/>
          <w:szCs w:val="24"/>
          <w:u w:val="single"/>
        </w:rPr>
        <w:lastRenderedPageBreak/>
        <w:t xml:space="preserve">O ADVOGADO-GERAL DA UNIÃO, no uso das atribuições que lhe conferem os incisos I, X, XI e XIII, do art. 4º da Lei Complementar nº 73, de 10 de fevereiro de 1993, considerando o que consta do Processo nº 00400.015975/2008-95, resolve expedir a presente orientação normativa, de caráter obrigatório a todos os órgãos jurídicos enumerados nos arts. 2º e 17 da Lei Complementar nº 73, de 1993: </w:t>
      </w:r>
      <w:r>
        <w:rPr>
          <w:rFonts w:ascii="Times New Roman" w:hAnsi="Times New Roman" w:cs="Times New Roman"/>
          <w:b/>
          <w:i/>
          <w:szCs w:val="24"/>
          <w:u w:val="single"/>
        </w:rPr>
        <w:br/>
      </w:r>
      <w:r>
        <w:rPr>
          <w:rFonts w:ascii="Times New Roman" w:hAnsi="Times New Roman" w:cs="Times New Roman"/>
          <w:b/>
          <w:i/>
          <w:szCs w:val="24"/>
          <w:u w:val="single"/>
        </w:rPr>
        <w:br/>
        <w:t xml:space="preserve">É OBRIGATÓRIA A JUSTIFICATIVA DE PREÇO NA INEXIGIBILIDADE DE LICITAÇÃO, QUE DEVERÁ SER REALIZADA MEDIANTE A COMPARAÇÃO DA PROPOSTA APRESENTADA COM PREÇOS PRATICADOS PELA FUTURA CONTRATADA JUNTO A OUTROS ORGÃOS PÚBLICOS OU PESSOAS PRIVADAS. </w:t>
      </w:r>
      <w:r>
        <w:rPr>
          <w:rFonts w:ascii="Times New Roman" w:hAnsi="Times New Roman" w:cs="Times New Roman"/>
          <w:b/>
          <w:i/>
          <w:szCs w:val="24"/>
          <w:u w:val="single"/>
        </w:rPr>
        <w:br/>
      </w:r>
      <w:r>
        <w:rPr>
          <w:rFonts w:ascii="Times New Roman" w:hAnsi="Times New Roman" w:cs="Times New Roman"/>
          <w:b/>
          <w:i/>
          <w:szCs w:val="24"/>
          <w:u w:val="single"/>
        </w:rPr>
        <w:br/>
        <w:t xml:space="preserve">INDEXAÇÃO: INEXIGIBILIDADE. CONTRATAÇÃO DIRETA. JUSTIFICATIVA DE PREÇO. PROPOSTA. CONTRATADA. </w:t>
      </w:r>
      <w:r>
        <w:rPr>
          <w:rFonts w:ascii="Times New Roman" w:hAnsi="Times New Roman" w:cs="Times New Roman"/>
          <w:b/>
          <w:i/>
          <w:szCs w:val="24"/>
          <w:u w:val="single"/>
        </w:rPr>
        <w:br/>
      </w:r>
      <w:r>
        <w:rPr>
          <w:rFonts w:ascii="Times New Roman" w:hAnsi="Times New Roman" w:cs="Times New Roman"/>
          <w:b/>
          <w:i/>
          <w:szCs w:val="24"/>
          <w:u w:val="single"/>
        </w:rPr>
        <w:br/>
        <w:t xml:space="preserve">REFERÊNCIA: art. 26, parágrafo único, inc. III, da Lei nº 8.666, de 1993; Despacho do Consultor-Geral da União nº 343/2007; Informativo NAJ/RJ, ANO </w:t>
      </w:r>
      <w:proofErr w:type="gramStart"/>
      <w:r>
        <w:rPr>
          <w:rFonts w:ascii="Times New Roman" w:hAnsi="Times New Roman" w:cs="Times New Roman"/>
          <w:b/>
          <w:i/>
          <w:szCs w:val="24"/>
          <w:u w:val="single"/>
        </w:rPr>
        <w:t>1</w:t>
      </w:r>
      <w:proofErr w:type="gramEnd"/>
      <w:r>
        <w:rPr>
          <w:rFonts w:ascii="Times New Roman" w:hAnsi="Times New Roman" w:cs="Times New Roman"/>
          <w:b/>
          <w:i/>
          <w:szCs w:val="24"/>
          <w:u w:val="single"/>
        </w:rPr>
        <w:t>, Nº 1, jun/07, Orientação 05; Decisão TCU 439/2003-Plenário, Acórdãos TCU 540/2003-Plenário, 819/2005-Plenário, 1.357/2005-Plenário, 1.796/2007-Plenário.</w:t>
      </w:r>
      <w:r>
        <w:rPr>
          <w:rFonts w:ascii="Times New Roman" w:hAnsi="Times New Roman" w:cs="Times New Roman"/>
          <w:szCs w:val="24"/>
        </w:rPr>
        <w:t xml:space="preserve"> </w:t>
      </w:r>
    </w:p>
    <w:p w:rsidR="00DF4F4F" w:rsidRDefault="00DF4F4F">
      <w:pPr>
        <w:pStyle w:val="WW-Corpodetexto2"/>
        <w:spacing w:line="360" w:lineRule="auto"/>
        <w:rPr>
          <w:rFonts w:ascii="Times New Roman" w:hAnsi="Times New Roman" w:cs="Times New Roman"/>
          <w:szCs w:val="24"/>
          <w:lang w:eastAsia="pt-BR"/>
        </w:rPr>
      </w:pPr>
    </w:p>
    <w:p w:rsidR="008F0CFD" w:rsidRDefault="009B7DEF" w:rsidP="008F0CFD">
      <w:pPr>
        <w:pStyle w:val="WW-Corpodetexto2"/>
        <w:spacing w:line="360" w:lineRule="auto"/>
      </w:pPr>
      <w:r>
        <w:rPr>
          <w:rFonts w:ascii="Times New Roman" w:hAnsi="Times New Roman" w:cs="Times New Roman"/>
          <w:szCs w:val="24"/>
          <w:highlight w:val="white"/>
          <w:lang w:eastAsia="pt-BR"/>
        </w:rPr>
        <w:t>42</w:t>
      </w:r>
      <w:r w:rsidR="00C73FAC">
        <w:rPr>
          <w:rFonts w:ascii="Times New Roman" w:hAnsi="Times New Roman" w:cs="Times New Roman"/>
          <w:szCs w:val="24"/>
          <w:highlight w:val="white"/>
          <w:lang w:eastAsia="pt-BR"/>
        </w:rPr>
        <w:t>.</w:t>
      </w:r>
      <w:r w:rsidR="00C73FAC">
        <w:rPr>
          <w:rFonts w:ascii="Times New Roman" w:hAnsi="Times New Roman" w:cs="Times New Roman"/>
          <w:szCs w:val="24"/>
          <w:highlight w:val="white"/>
          <w:lang w:eastAsia="pt-BR"/>
        </w:rPr>
        <w:tab/>
      </w:r>
      <w:r w:rsidR="00326BA1" w:rsidRPr="00A86037">
        <w:rPr>
          <w:rFonts w:ascii="Times New Roman" w:hAnsi="Times New Roman" w:cs="Times New Roman"/>
          <w:i/>
          <w:szCs w:val="24"/>
          <w:lang w:eastAsia="pt-BR"/>
        </w:rPr>
        <w:t>In casu</w:t>
      </w:r>
      <w:r w:rsidR="00326BA1" w:rsidRPr="00A86037">
        <w:rPr>
          <w:rFonts w:ascii="Times New Roman" w:hAnsi="Times New Roman" w:cs="Times New Roman"/>
          <w:szCs w:val="24"/>
          <w:lang w:eastAsia="pt-BR"/>
        </w:rPr>
        <w:t xml:space="preserve">, nota-se que foram anexados aos autos </w:t>
      </w:r>
      <w:r w:rsidR="006321D7">
        <w:rPr>
          <w:rFonts w:ascii="Times New Roman" w:hAnsi="Times New Roman" w:cs="Times New Roman"/>
          <w:szCs w:val="24"/>
          <w:lang w:eastAsia="pt-BR"/>
        </w:rPr>
        <w:t>notas de empenho</w:t>
      </w:r>
      <w:r w:rsidR="00326BA1" w:rsidRPr="00A86037">
        <w:rPr>
          <w:rFonts w:ascii="Times New Roman" w:hAnsi="Times New Roman" w:cs="Times New Roman"/>
          <w:szCs w:val="24"/>
          <w:lang w:eastAsia="pt-BR"/>
        </w:rPr>
        <w:t xml:space="preserve"> de outros órgãos públicos (fls. </w:t>
      </w:r>
      <w:r w:rsidR="00012615">
        <w:rPr>
          <w:rFonts w:ascii="Times New Roman" w:hAnsi="Times New Roman" w:cs="Times New Roman"/>
          <w:szCs w:val="24"/>
          <w:lang w:eastAsia="pt-BR"/>
        </w:rPr>
        <w:t>2</w:t>
      </w:r>
      <w:r w:rsidR="00A8446A">
        <w:rPr>
          <w:rFonts w:ascii="Times New Roman" w:hAnsi="Times New Roman" w:cs="Times New Roman"/>
          <w:szCs w:val="24"/>
          <w:lang w:eastAsia="pt-BR"/>
        </w:rPr>
        <w:t>2</w:t>
      </w:r>
      <w:r w:rsidR="00012615">
        <w:rPr>
          <w:rFonts w:ascii="Times New Roman" w:hAnsi="Times New Roman" w:cs="Times New Roman"/>
          <w:szCs w:val="24"/>
          <w:lang w:eastAsia="pt-BR"/>
        </w:rPr>
        <w:t>/2</w:t>
      </w:r>
      <w:r w:rsidR="00A8446A">
        <w:rPr>
          <w:rFonts w:ascii="Times New Roman" w:hAnsi="Times New Roman" w:cs="Times New Roman"/>
          <w:szCs w:val="24"/>
          <w:lang w:eastAsia="pt-BR"/>
        </w:rPr>
        <w:t>4</w:t>
      </w:r>
      <w:r w:rsidR="00326BA1" w:rsidRPr="00A86037">
        <w:rPr>
          <w:rFonts w:ascii="Times New Roman" w:hAnsi="Times New Roman" w:cs="Times New Roman"/>
          <w:szCs w:val="24"/>
          <w:lang w:eastAsia="pt-BR"/>
        </w:rPr>
        <w:t>), com o objetivo de justificar o preço</w:t>
      </w:r>
      <w:r w:rsidR="008F0CFD">
        <w:rPr>
          <w:rFonts w:ascii="Times New Roman" w:hAnsi="Times New Roman" w:cs="Times New Roman"/>
          <w:szCs w:val="24"/>
          <w:lang w:eastAsia="pt-BR"/>
        </w:rPr>
        <w:t xml:space="preserve">. </w:t>
      </w:r>
      <w:r w:rsidR="008F0CFD" w:rsidRPr="00AC0167">
        <w:rPr>
          <w:rFonts w:ascii="Times New Roman" w:hAnsi="Times New Roman" w:cs="Times New Roman"/>
          <w:b/>
          <w:lang w:eastAsia="pt-BR"/>
        </w:rPr>
        <w:t xml:space="preserve">No entanto, </w:t>
      </w:r>
      <w:r w:rsidR="008F0CFD" w:rsidRPr="00600020">
        <w:rPr>
          <w:rFonts w:ascii="Times New Roman" w:hAnsi="Times New Roman" w:cs="Times New Roman"/>
          <w:b/>
          <w:lang w:eastAsia="pt-BR"/>
        </w:rPr>
        <w:t>inobstante os preços estarem compatíveis com o valor da contratação pretendida</w:t>
      </w:r>
      <w:r w:rsidR="008F0CFD">
        <w:rPr>
          <w:rFonts w:ascii="Times New Roman" w:hAnsi="Times New Roman" w:cs="Times New Roman"/>
          <w:b/>
          <w:lang w:eastAsia="pt-BR"/>
        </w:rPr>
        <w:t xml:space="preserve">, </w:t>
      </w:r>
      <w:r w:rsidR="008F0CFD" w:rsidRPr="00600020">
        <w:rPr>
          <w:rFonts w:ascii="Times New Roman" w:hAnsi="Times New Roman" w:cs="Times New Roman"/>
          <w:b/>
          <w:lang w:eastAsia="pt-BR"/>
        </w:rPr>
        <w:t xml:space="preserve">observa-se que os cursos </w:t>
      </w:r>
      <w:r w:rsidR="008F0CFD">
        <w:rPr>
          <w:rFonts w:ascii="Times New Roman" w:hAnsi="Times New Roman" w:cs="Times New Roman"/>
          <w:b/>
          <w:lang w:eastAsia="pt-BR"/>
        </w:rPr>
        <w:t xml:space="preserve">foram </w:t>
      </w:r>
      <w:r w:rsidR="008F0CFD" w:rsidRPr="00600020">
        <w:rPr>
          <w:rFonts w:ascii="Times New Roman" w:hAnsi="Times New Roman" w:cs="Times New Roman"/>
          <w:b/>
          <w:lang w:eastAsia="pt-BR"/>
        </w:rPr>
        <w:t xml:space="preserve">promovidos pela </w:t>
      </w:r>
      <w:r w:rsidR="008F0CFD">
        <w:rPr>
          <w:rFonts w:ascii="Times New Roman" w:hAnsi="Times New Roman" w:cs="Times New Roman"/>
          <w:b/>
          <w:lang w:eastAsia="pt-BR"/>
        </w:rPr>
        <w:t xml:space="preserve">Consultre Consultoria e Treinamento Ltda. em exercícios anteriores, o que não se enquadraria como mesmo curso, </w:t>
      </w:r>
      <w:r w:rsidR="00C50012">
        <w:rPr>
          <w:rFonts w:ascii="Times New Roman" w:hAnsi="Times New Roman" w:cs="Times New Roman"/>
          <w:b/>
          <w:lang w:eastAsia="pt-BR"/>
        </w:rPr>
        <w:t>sobretudo</w:t>
      </w:r>
      <w:r w:rsidR="008F0CFD">
        <w:rPr>
          <w:rFonts w:ascii="Times New Roman" w:hAnsi="Times New Roman" w:cs="Times New Roman"/>
          <w:b/>
          <w:lang w:eastAsia="pt-BR"/>
        </w:rPr>
        <w:t xml:space="preserve"> </w:t>
      </w:r>
      <w:r w:rsidR="00C50012">
        <w:rPr>
          <w:rFonts w:ascii="Times New Roman" w:hAnsi="Times New Roman" w:cs="Times New Roman"/>
          <w:b/>
          <w:lang w:eastAsia="pt-BR"/>
        </w:rPr>
        <w:t>em relação</w:t>
      </w:r>
      <w:r w:rsidR="008F0CFD">
        <w:rPr>
          <w:rFonts w:ascii="Times New Roman" w:hAnsi="Times New Roman" w:cs="Times New Roman"/>
          <w:b/>
          <w:lang w:eastAsia="pt-BR"/>
        </w:rPr>
        <w:t xml:space="preserve"> aos preços praticados, que a cada ano podem sofrer reajustes. </w:t>
      </w:r>
      <w:r w:rsidR="008F0CFD" w:rsidRPr="00C04231">
        <w:rPr>
          <w:rFonts w:ascii="Times New Roman" w:hAnsi="Times New Roman" w:cs="Times New Roman"/>
          <w:b/>
          <w:u w:val="single"/>
          <w:lang w:eastAsia="pt-BR"/>
        </w:rPr>
        <w:t xml:space="preserve">Assim, </w:t>
      </w:r>
      <w:r w:rsidR="008F0CFD">
        <w:rPr>
          <w:rFonts w:ascii="Times New Roman" w:hAnsi="Times New Roman" w:cs="Times New Roman"/>
          <w:b/>
          <w:u w:val="single"/>
          <w:lang w:eastAsia="pt-BR"/>
        </w:rPr>
        <w:t>recomenda-se que a Administração envide esforços no sentido</w:t>
      </w:r>
      <w:r w:rsidR="008F0CFD">
        <w:rPr>
          <w:rFonts w:ascii="Times New Roman" w:hAnsi="Times New Roman" w:cs="Times New Roman"/>
          <w:b/>
          <w:u w:val="single"/>
        </w:rPr>
        <w:t xml:space="preserve"> de </w:t>
      </w:r>
      <w:r w:rsidR="008F0CFD" w:rsidRPr="00783B52">
        <w:rPr>
          <w:rFonts w:ascii="Times New Roman" w:hAnsi="Times New Roman" w:cs="Times New Roman"/>
          <w:b/>
          <w:u w:val="single"/>
        </w:rPr>
        <w:t xml:space="preserve">justificar o preço da contratação pretendida </w:t>
      </w:r>
      <w:r w:rsidR="008F0CFD" w:rsidRPr="00783B52">
        <w:rPr>
          <w:rFonts w:ascii="Times New Roman" w:hAnsi="Times New Roman" w:cs="Times New Roman"/>
          <w:b/>
          <w:u w:val="single"/>
        </w:rPr>
        <w:lastRenderedPageBreak/>
        <w:t>mediante a comparação da proposta apresentada</w:t>
      </w:r>
      <w:r w:rsidR="008F0CFD">
        <w:rPr>
          <w:rFonts w:ascii="Times New Roman" w:hAnsi="Times New Roman" w:cs="Times New Roman"/>
          <w:b/>
          <w:u w:val="single"/>
        </w:rPr>
        <w:t xml:space="preserve"> quanto ao objeto a ser contratado</w:t>
      </w:r>
      <w:r w:rsidR="008F0CFD" w:rsidRPr="00783B52">
        <w:rPr>
          <w:rFonts w:ascii="Times New Roman" w:hAnsi="Times New Roman" w:cs="Times New Roman"/>
          <w:b/>
          <w:u w:val="single"/>
        </w:rPr>
        <w:t xml:space="preserve"> com preços praticados pela futura contratada junto a outros órgãos públicos ou pessoas privadas</w:t>
      </w:r>
      <w:r w:rsidR="008F0CFD">
        <w:rPr>
          <w:rFonts w:ascii="Times New Roman" w:hAnsi="Times New Roman" w:cs="Times New Roman"/>
          <w:b/>
          <w:u w:val="single"/>
        </w:rPr>
        <w:t>, no que tange ao mesmo objeto e, preferencialmente, no mesmo exercício financeiro. No caso de impossibilidade, deverá a Administração demonstrar tal fato, por meio de justificativa.</w:t>
      </w:r>
      <w:r w:rsidR="00B3334A">
        <w:rPr>
          <w:rFonts w:ascii="Times New Roman" w:hAnsi="Times New Roman" w:cs="Times New Roman"/>
          <w:b/>
          <w:u w:val="single"/>
        </w:rPr>
        <w:t xml:space="preserve"> </w:t>
      </w:r>
    </w:p>
    <w:p w:rsidR="00DF4F4F" w:rsidRDefault="00DF4F4F">
      <w:pPr>
        <w:pStyle w:val="WW-Corpodetexto2"/>
        <w:spacing w:line="360" w:lineRule="auto"/>
      </w:pPr>
    </w:p>
    <w:p w:rsidR="007C468A" w:rsidRPr="00B3334A" w:rsidRDefault="007C468A">
      <w:pPr>
        <w:pStyle w:val="TituloPROCANAC"/>
        <w:tabs>
          <w:tab w:val="left" w:pos="709"/>
        </w:tabs>
        <w:spacing w:before="0" w:line="360" w:lineRule="auto"/>
        <w:ind w:left="0" w:firstLine="0"/>
        <w:rPr>
          <w:b/>
          <w:highlight w:val="white"/>
          <w:lang w:eastAsia="pt-BR"/>
        </w:rPr>
      </w:pPr>
      <w:r w:rsidRPr="00B3334A">
        <w:rPr>
          <w:b/>
          <w:highlight w:val="white"/>
          <w:lang w:eastAsia="pt-BR"/>
        </w:rPr>
        <w:t>43.</w:t>
      </w:r>
      <w:r w:rsidRPr="00B3334A">
        <w:rPr>
          <w:b/>
          <w:highlight w:val="white"/>
          <w:lang w:eastAsia="pt-BR"/>
        </w:rPr>
        <w:tab/>
        <w:t xml:space="preserve">Vale dizer que, para os próximos processos fundamentados neste Parecer, a Administração </w:t>
      </w:r>
      <w:r w:rsidR="00B3334A">
        <w:rPr>
          <w:b/>
          <w:highlight w:val="white"/>
          <w:lang w:eastAsia="pt-BR"/>
        </w:rPr>
        <w:t>deverá fazer uso</w:t>
      </w:r>
      <w:r w:rsidRPr="00B3334A">
        <w:rPr>
          <w:b/>
          <w:highlight w:val="white"/>
          <w:lang w:eastAsia="pt-BR"/>
        </w:rPr>
        <w:t xml:space="preserve"> </w:t>
      </w:r>
      <w:r w:rsidR="00E907D7" w:rsidRPr="00B3334A">
        <w:rPr>
          <w:b/>
          <w:highlight w:val="white"/>
          <w:lang w:eastAsia="pt-BR"/>
        </w:rPr>
        <w:t>do Termo de Justificativa de Preço para expor a questão levantada no item anterior</w:t>
      </w:r>
      <w:r w:rsidR="00B3334A">
        <w:rPr>
          <w:b/>
          <w:highlight w:val="white"/>
          <w:lang w:eastAsia="pt-BR"/>
        </w:rPr>
        <w:t>, conforme modelo do</w:t>
      </w:r>
      <w:r w:rsidR="00B3334A">
        <w:rPr>
          <w:b/>
          <w:lang w:eastAsia="pt-BR"/>
        </w:rPr>
        <w:t xml:space="preserve"> </w:t>
      </w:r>
      <w:r w:rsidR="00E907D7" w:rsidRPr="00B3334A">
        <w:rPr>
          <w:b/>
          <w:lang w:eastAsia="pt-BR"/>
        </w:rPr>
        <w:t xml:space="preserve">Anexo </w:t>
      </w:r>
      <w:r w:rsidR="00A95D17" w:rsidRPr="00B3334A">
        <w:rPr>
          <w:b/>
          <w:lang w:eastAsia="pt-BR"/>
        </w:rPr>
        <w:t>V</w:t>
      </w:r>
      <w:r w:rsidR="00E907D7" w:rsidRPr="00B3334A">
        <w:rPr>
          <w:b/>
          <w:highlight w:val="white"/>
          <w:lang w:eastAsia="pt-BR"/>
        </w:rPr>
        <w:t>.</w:t>
      </w:r>
    </w:p>
    <w:p w:rsidR="007C468A" w:rsidRDefault="007C468A">
      <w:pPr>
        <w:pStyle w:val="TituloPROCANAC"/>
        <w:tabs>
          <w:tab w:val="left" w:pos="709"/>
        </w:tabs>
        <w:spacing w:before="0" w:line="360" w:lineRule="auto"/>
        <w:ind w:left="0" w:firstLine="0"/>
        <w:rPr>
          <w:highlight w:val="white"/>
          <w:lang w:eastAsia="pt-BR"/>
        </w:rPr>
      </w:pPr>
    </w:p>
    <w:p w:rsidR="00DF4F4F" w:rsidRPr="00972DC4" w:rsidRDefault="009B7DEF" w:rsidP="00972DC4">
      <w:pPr>
        <w:spacing w:line="360" w:lineRule="auto"/>
        <w:jc w:val="both"/>
        <w:rPr>
          <w:bCs/>
          <w:color w:val="000000"/>
          <w:szCs w:val="24"/>
          <w:lang w:eastAsia="pt-BR"/>
        </w:rPr>
      </w:pPr>
      <w:r w:rsidRPr="00972DC4">
        <w:rPr>
          <w:szCs w:val="24"/>
          <w:highlight w:val="white"/>
          <w:lang w:eastAsia="pt-BR"/>
        </w:rPr>
        <w:t>4</w:t>
      </w:r>
      <w:r w:rsidR="00B3334A" w:rsidRPr="00972DC4">
        <w:rPr>
          <w:szCs w:val="24"/>
          <w:highlight w:val="white"/>
          <w:lang w:eastAsia="pt-BR"/>
        </w:rPr>
        <w:t>4</w:t>
      </w:r>
      <w:r w:rsidR="00C73FAC" w:rsidRPr="00972DC4">
        <w:rPr>
          <w:szCs w:val="24"/>
          <w:highlight w:val="white"/>
          <w:lang w:eastAsia="pt-BR"/>
        </w:rPr>
        <w:t>.</w:t>
      </w:r>
      <w:r w:rsidR="00C73FAC" w:rsidRPr="00972DC4">
        <w:rPr>
          <w:szCs w:val="24"/>
          <w:highlight w:val="white"/>
          <w:lang w:eastAsia="pt-BR"/>
        </w:rPr>
        <w:tab/>
      </w:r>
      <w:r w:rsidR="00972DC4" w:rsidRPr="00972DC4">
        <w:rPr>
          <w:b/>
          <w:szCs w:val="24"/>
        </w:rPr>
        <w:t xml:space="preserve">Aponta-se, ademais, que devem ser sempre providenciadas em todos os processos subsequentes a este as certidões de comprovação de regularidade fiscal e trabalhista da organizadora do evento, ficando o setor responsável incumbido de verificar a total regularidade no momento do empenho. </w:t>
      </w:r>
      <w:r w:rsidR="00972DC4" w:rsidRPr="00972DC4">
        <w:rPr>
          <w:szCs w:val="24"/>
        </w:rPr>
        <w:t xml:space="preserve">No caso analisado, </w:t>
      </w:r>
      <w:r w:rsidR="00C73FAC" w:rsidRPr="00972DC4">
        <w:rPr>
          <w:bCs/>
          <w:szCs w:val="24"/>
          <w:highlight w:val="white"/>
          <w:lang w:eastAsia="pt-BR"/>
        </w:rPr>
        <w:t xml:space="preserve">foram juntadas aos autos </w:t>
      </w:r>
      <w:r w:rsidR="00FA3FD3" w:rsidRPr="00972DC4">
        <w:rPr>
          <w:bCs/>
          <w:szCs w:val="24"/>
          <w:highlight w:val="white"/>
          <w:lang w:eastAsia="pt-BR"/>
        </w:rPr>
        <w:t>documentos</w:t>
      </w:r>
      <w:r w:rsidR="00C73FAC" w:rsidRPr="00972DC4">
        <w:rPr>
          <w:bCs/>
          <w:szCs w:val="24"/>
          <w:highlight w:val="white"/>
          <w:lang w:eastAsia="pt-BR"/>
        </w:rPr>
        <w:t xml:space="preserve"> referentes à regularida</w:t>
      </w:r>
      <w:r w:rsidR="00FF575F" w:rsidRPr="00972DC4">
        <w:rPr>
          <w:bCs/>
          <w:szCs w:val="24"/>
          <w:highlight w:val="white"/>
          <w:lang w:eastAsia="pt-BR"/>
        </w:rPr>
        <w:t xml:space="preserve">de da empresa a ser contratada </w:t>
      </w:r>
      <w:r w:rsidR="00C73FAC" w:rsidRPr="00972DC4">
        <w:rPr>
          <w:bCs/>
          <w:color w:val="000000"/>
          <w:szCs w:val="24"/>
          <w:lang w:eastAsia="pt-BR"/>
        </w:rPr>
        <w:t xml:space="preserve">(fls. </w:t>
      </w:r>
      <w:r w:rsidR="00FC5636" w:rsidRPr="00972DC4">
        <w:rPr>
          <w:bCs/>
          <w:color w:val="000000"/>
          <w:szCs w:val="24"/>
          <w:lang w:eastAsia="pt-BR"/>
        </w:rPr>
        <w:t>44/50</w:t>
      </w:r>
      <w:r w:rsidR="00C73FAC" w:rsidRPr="00972DC4">
        <w:rPr>
          <w:bCs/>
          <w:color w:val="000000"/>
          <w:szCs w:val="24"/>
          <w:lang w:eastAsia="pt-BR"/>
        </w:rPr>
        <w:t>)</w:t>
      </w:r>
      <w:r w:rsidR="00262A29" w:rsidRPr="00972DC4">
        <w:rPr>
          <w:bCs/>
          <w:color w:val="000000"/>
          <w:szCs w:val="24"/>
          <w:lang w:eastAsia="pt-BR"/>
        </w:rPr>
        <w:t xml:space="preserve">, </w:t>
      </w:r>
      <w:r w:rsidR="0040479B" w:rsidRPr="00972DC4">
        <w:rPr>
          <w:b/>
          <w:szCs w:val="24"/>
          <w:u w:val="single"/>
        </w:rPr>
        <w:t>cujos prazos</w:t>
      </w:r>
      <w:r w:rsidR="00262A29" w:rsidRPr="00972DC4">
        <w:rPr>
          <w:b/>
          <w:szCs w:val="24"/>
          <w:u w:val="single"/>
        </w:rPr>
        <w:t xml:space="preserve"> deverão estar válidos no momento da contratação</w:t>
      </w:r>
      <w:r w:rsidR="0040479B" w:rsidRPr="00972DC4">
        <w:rPr>
          <w:b/>
          <w:szCs w:val="24"/>
          <w:u w:val="single"/>
        </w:rPr>
        <w:t xml:space="preserve">, a exemplo </w:t>
      </w:r>
      <w:r w:rsidR="00784241" w:rsidRPr="00972DC4">
        <w:rPr>
          <w:b/>
          <w:szCs w:val="24"/>
          <w:u w:val="single"/>
        </w:rPr>
        <w:t>d</w:t>
      </w:r>
      <w:r w:rsidR="003A04C4" w:rsidRPr="00972DC4">
        <w:rPr>
          <w:b/>
          <w:szCs w:val="24"/>
          <w:u w:val="single"/>
        </w:rPr>
        <w:t>a</w:t>
      </w:r>
      <w:r w:rsidR="00784241" w:rsidRPr="00972DC4">
        <w:rPr>
          <w:b/>
          <w:szCs w:val="24"/>
          <w:u w:val="single"/>
        </w:rPr>
        <w:t xml:space="preserve"> </w:t>
      </w:r>
      <w:r w:rsidR="003A04C4" w:rsidRPr="00972DC4">
        <w:rPr>
          <w:b/>
          <w:szCs w:val="24"/>
          <w:u w:val="single"/>
        </w:rPr>
        <w:t xml:space="preserve">Regularidade Fiscal </w:t>
      </w:r>
      <w:r w:rsidR="00D4790E" w:rsidRPr="00972DC4">
        <w:rPr>
          <w:b/>
          <w:szCs w:val="24"/>
          <w:u w:val="single"/>
        </w:rPr>
        <w:t xml:space="preserve">Federal </w:t>
      </w:r>
      <w:r w:rsidR="003A04C4" w:rsidRPr="00972DC4">
        <w:rPr>
          <w:b/>
          <w:szCs w:val="24"/>
          <w:u w:val="single"/>
        </w:rPr>
        <w:t xml:space="preserve">referente </w:t>
      </w:r>
      <w:r w:rsidR="00D4790E" w:rsidRPr="00972DC4">
        <w:rPr>
          <w:b/>
          <w:szCs w:val="24"/>
          <w:u w:val="single"/>
        </w:rPr>
        <w:t xml:space="preserve">ao FGTS e à </w:t>
      </w:r>
      <w:r w:rsidR="003A04C4" w:rsidRPr="00972DC4">
        <w:rPr>
          <w:b/>
          <w:szCs w:val="24"/>
          <w:u w:val="single"/>
        </w:rPr>
        <w:t>Receita Municipal</w:t>
      </w:r>
      <w:r w:rsidR="0040479B" w:rsidRPr="00972DC4">
        <w:rPr>
          <w:b/>
          <w:szCs w:val="24"/>
          <w:u w:val="single"/>
        </w:rPr>
        <w:t>, que já se encontra</w:t>
      </w:r>
      <w:r w:rsidR="00D4790E" w:rsidRPr="00972DC4">
        <w:rPr>
          <w:b/>
          <w:szCs w:val="24"/>
          <w:u w:val="single"/>
        </w:rPr>
        <w:t>m</w:t>
      </w:r>
      <w:r w:rsidR="0040479B" w:rsidRPr="00972DC4">
        <w:rPr>
          <w:b/>
          <w:szCs w:val="24"/>
          <w:u w:val="single"/>
        </w:rPr>
        <w:t xml:space="preserve"> com o</w:t>
      </w:r>
      <w:r w:rsidR="00D4790E" w:rsidRPr="00972DC4">
        <w:rPr>
          <w:b/>
          <w:szCs w:val="24"/>
          <w:u w:val="single"/>
        </w:rPr>
        <w:t>s</w:t>
      </w:r>
      <w:r w:rsidR="0040479B" w:rsidRPr="00972DC4">
        <w:rPr>
          <w:b/>
          <w:szCs w:val="24"/>
          <w:u w:val="single"/>
        </w:rPr>
        <w:t xml:space="preserve"> prazo</w:t>
      </w:r>
      <w:r w:rsidR="00D4790E" w:rsidRPr="00972DC4">
        <w:rPr>
          <w:b/>
          <w:szCs w:val="24"/>
          <w:u w:val="single"/>
        </w:rPr>
        <w:t>s</w:t>
      </w:r>
      <w:r w:rsidR="0040479B" w:rsidRPr="00972DC4">
        <w:rPr>
          <w:b/>
          <w:szCs w:val="24"/>
          <w:u w:val="single"/>
        </w:rPr>
        <w:t xml:space="preserve"> de validade expirado</w:t>
      </w:r>
      <w:r w:rsidR="00D4790E" w:rsidRPr="00972DC4">
        <w:rPr>
          <w:b/>
          <w:szCs w:val="24"/>
          <w:u w:val="single"/>
        </w:rPr>
        <w:t>s</w:t>
      </w:r>
      <w:r w:rsidR="00C73FAC" w:rsidRPr="00972DC4">
        <w:rPr>
          <w:bCs/>
          <w:color w:val="000000"/>
          <w:szCs w:val="24"/>
          <w:lang w:eastAsia="pt-BR"/>
        </w:rPr>
        <w:t>.</w:t>
      </w:r>
    </w:p>
    <w:p w:rsidR="00D4790E" w:rsidRDefault="00D4790E">
      <w:pPr>
        <w:pStyle w:val="TituloPROCANAC"/>
        <w:tabs>
          <w:tab w:val="left" w:pos="709"/>
        </w:tabs>
        <w:spacing w:before="0" w:line="360" w:lineRule="auto"/>
        <w:ind w:left="0" w:firstLine="0"/>
        <w:rPr>
          <w:bCs/>
          <w:color w:val="000000"/>
          <w:lang w:eastAsia="pt-BR"/>
        </w:rPr>
      </w:pPr>
    </w:p>
    <w:p w:rsidR="00D4790E" w:rsidRDefault="00D4790E">
      <w:pPr>
        <w:pStyle w:val="TituloPROCANAC"/>
        <w:tabs>
          <w:tab w:val="left" w:pos="709"/>
        </w:tabs>
        <w:spacing w:before="0" w:line="360" w:lineRule="auto"/>
        <w:ind w:left="0" w:firstLine="0"/>
      </w:pPr>
      <w:r w:rsidRPr="004756BF">
        <w:rPr>
          <w:b/>
          <w:bCs/>
          <w:color w:val="000000"/>
          <w:lang w:eastAsia="pt-BR"/>
        </w:rPr>
        <w:t>45.</w:t>
      </w:r>
      <w:r>
        <w:rPr>
          <w:bCs/>
          <w:color w:val="000000"/>
          <w:lang w:eastAsia="pt-BR"/>
        </w:rPr>
        <w:tab/>
      </w:r>
      <w:r w:rsidRPr="00D4790E">
        <w:rPr>
          <w:b/>
          <w:bCs/>
          <w:color w:val="000000"/>
          <w:u w:val="single"/>
          <w:lang w:eastAsia="pt-BR"/>
        </w:rPr>
        <w:t xml:space="preserve">Ainda </w:t>
      </w:r>
      <w:r w:rsidRPr="00D4790E">
        <w:rPr>
          <w:b/>
          <w:u w:val="single"/>
        </w:rPr>
        <w:t>nesse sentido, sugere-se que a Administração</w:t>
      </w:r>
      <w:r>
        <w:rPr>
          <w:b/>
          <w:u w:val="single"/>
        </w:rPr>
        <w:t>, caso a caso,</w:t>
      </w:r>
      <w:r w:rsidRPr="00D4790E">
        <w:rPr>
          <w:b/>
          <w:u w:val="single"/>
        </w:rPr>
        <w:t xml:space="preserve"> verifique se consta algum registro de sanção aplicada às futuras contratadas, cujos efeitos as tornem </w:t>
      </w:r>
      <w:proofErr w:type="gramStart"/>
      <w:r w:rsidRPr="00D4790E">
        <w:rPr>
          <w:b/>
          <w:u w:val="single"/>
        </w:rPr>
        <w:t>proibidas de celebrar contrato administrativo</w:t>
      </w:r>
      <w:proofErr w:type="gramEnd"/>
      <w:r w:rsidRPr="00D4790E">
        <w:rPr>
          <w:b/>
          <w:u w:val="single"/>
        </w:rPr>
        <w:t xml:space="preserve"> e alcance a Administração contratante. Além do Sistema de Cadastro Unificado de Fornecedores – SICAF e do Cadastro Nacional de Empresas Inidôneas e Suspensas – CEIS, são sistemas de consulta de registro de penalidades: (a) Lista de Inidôneos do Tribunal de Contas da União (</w:t>
      </w:r>
      <w:hyperlink r:id="rId7">
        <w:r w:rsidRPr="00D4790E">
          <w:rPr>
            <w:rStyle w:val="LinkdaInternet"/>
            <w:b/>
          </w:rPr>
          <w:t>http://portal2.tcu.gov.br</w:t>
        </w:r>
      </w:hyperlink>
      <w:r w:rsidRPr="00D4790E">
        <w:rPr>
          <w:b/>
          <w:u w:val="single"/>
        </w:rPr>
        <w:t>);</w:t>
      </w:r>
      <w:proofErr w:type="gramStart"/>
      <w:r w:rsidRPr="00D4790E">
        <w:rPr>
          <w:b/>
          <w:u w:val="single"/>
        </w:rPr>
        <w:t xml:space="preserve"> </w:t>
      </w:r>
      <w:r>
        <w:rPr>
          <w:b/>
          <w:u w:val="single"/>
        </w:rPr>
        <w:t xml:space="preserve"> </w:t>
      </w:r>
      <w:proofErr w:type="gramEnd"/>
      <w:r w:rsidRPr="00D4790E">
        <w:rPr>
          <w:b/>
          <w:u w:val="single"/>
        </w:rPr>
        <w:t>(b) Conselho Nacional de Justiça - CNJ (</w:t>
      </w:r>
      <w:hyperlink r:id="rId8">
        <w:r w:rsidRPr="00D4790E">
          <w:rPr>
            <w:rStyle w:val="LinkdaInternet"/>
            <w:b/>
          </w:rPr>
          <w:t>http://www.cnj.jus.br</w:t>
        </w:r>
      </w:hyperlink>
      <w:r w:rsidRPr="00D4790E">
        <w:rPr>
          <w:b/>
          <w:u w:val="single"/>
        </w:rPr>
        <w:t>)</w:t>
      </w:r>
      <w:r>
        <w:rPr>
          <w:b/>
          <w:u w:val="single"/>
        </w:rPr>
        <w:t xml:space="preserve"> e CADIN – Cadastro Informativo de Créditos Não Quitados</w:t>
      </w:r>
      <w:r w:rsidR="000217E5">
        <w:rPr>
          <w:b/>
          <w:u w:val="single"/>
        </w:rPr>
        <w:t xml:space="preserve">. </w:t>
      </w:r>
    </w:p>
    <w:p w:rsidR="00DF4F4F" w:rsidRDefault="00DF4F4F">
      <w:pPr>
        <w:pStyle w:val="TituloPROCANAC"/>
        <w:tabs>
          <w:tab w:val="left" w:pos="709"/>
        </w:tabs>
        <w:spacing w:before="0" w:line="360" w:lineRule="auto"/>
        <w:ind w:left="0" w:firstLine="0"/>
        <w:rPr>
          <w:bCs/>
          <w:highlight w:val="cyan"/>
          <w:lang w:eastAsia="pt-BR"/>
        </w:rPr>
      </w:pPr>
    </w:p>
    <w:p w:rsidR="00DF4F4F" w:rsidRDefault="004756BF">
      <w:pPr>
        <w:pStyle w:val="TituloPROCANAC"/>
        <w:tabs>
          <w:tab w:val="left" w:pos="709"/>
        </w:tabs>
        <w:spacing w:before="0" w:line="360" w:lineRule="auto"/>
        <w:ind w:left="0" w:right="17" w:firstLine="0"/>
      </w:pPr>
      <w:r>
        <w:rPr>
          <w:highlight w:val="white"/>
          <w:lang w:eastAsia="pt-BR"/>
        </w:rPr>
        <w:t>46</w:t>
      </w:r>
      <w:r w:rsidR="00C73FAC">
        <w:rPr>
          <w:highlight w:val="white"/>
          <w:lang w:eastAsia="pt-BR"/>
        </w:rPr>
        <w:t>.</w:t>
      </w:r>
      <w:r w:rsidR="00C73FAC">
        <w:rPr>
          <w:highlight w:val="white"/>
          <w:lang w:eastAsia="pt-BR"/>
        </w:rPr>
        <w:tab/>
        <w:t xml:space="preserve">No que tange </w:t>
      </w:r>
      <w:r w:rsidR="00C73FAC">
        <w:rPr>
          <w:highlight w:val="white"/>
        </w:rPr>
        <w:t>à Certidão Negativa de Débitos Trabalhistas (CNDT)</w:t>
      </w:r>
      <w:r w:rsidR="00AC2559">
        <w:rPr>
          <w:highlight w:val="white"/>
        </w:rPr>
        <w:t>,</w:t>
      </w:r>
      <w:r>
        <w:rPr>
          <w:highlight w:val="white"/>
        </w:rPr>
        <w:t xml:space="preserve"> fl. 49,</w:t>
      </w:r>
      <w:r w:rsidR="00C73FAC">
        <w:rPr>
          <w:highlight w:val="white"/>
        </w:rPr>
        <w:t xml:space="preserve"> vale a pena conferir a orientação do TCU, no bojo do Acórdão nº 1054 - TCU - Plenário, de 02/05/2012, </w:t>
      </w:r>
      <w:r w:rsidR="00C73FAC">
        <w:rPr>
          <w:highlight w:val="white"/>
        </w:rPr>
        <w:lastRenderedPageBreak/>
        <w:t xml:space="preserve">para que a referida certidão seja exigida da empresa contratada por ocasião de cada pagamento, </w:t>
      </w:r>
      <w:r w:rsidR="00C73FAC">
        <w:rPr>
          <w:i/>
          <w:highlight w:val="white"/>
        </w:rPr>
        <w:t>in verbis</w:t>
      </w:r>
      <w:r w:rsidR="00C73FAC">
        <w:rPr>
          <w:highlight w:val="white"/>
        </w:rPr>
        <w:t>:</w:t>
      </w:r>
    </w:p>
    <w:p w:rsidR="00DF4F4F" w:rsidRDefault="00DF4F4F">
      <w:pPr>
        <w:pStyle w:val="TituloPROCANAC"/>
        <w:tabs>
          <w:tab w:val="left" w:pos="709"/>
        </w:tabs>
        <w:spacing w:before="0" w:line="360" w:lineRule="auto"/>
        <w:ind w:right="17"/>
      </w:pPr>
    </w:p>
    <w:p w:rsidR="00DF4F4F" w:rsidRDefault="007F175C">
      <w:pPr>
        <w:pStyle w:val="TituloPROCANAC"/>
        <w:tabs>
          <w:tab w:val="left" w:pos="709"/>
        </w:tabs>
        <w:spacing w:before="0" w:line="360" w:lineRule="auto"/>
        <w:ind w:left="2268" w:firstLine="0"/>
      </w:pPr>
      <w:r>
        <w:t xml:space="preserve">9.2. </w:t>
      </w:r>
      <w:proofErr w:type="gramStart"/>
      <w:r w:rsidR="00C73FAC">
        <w:t>a</w:t>
      </w:r>
      <w:proofErr w:type="gramEnd"/>
      <w:r w:rsidR="00C73FAC">
        <w:t xml:space="preserve"> todas as unidades centrais e setoriais do Sistema de Controle Interno dos Poderes Executivo, Legislativo e judiciário da União que orientem os órgãos e entidades a eles vinculados no sentido de que exijam das empresas contratadas, por ocasião de cada ato de pagamento, a apresentação da devida certidão negativa de débitos trabalhistas, de modo a dar efetivo cumprimento às disposições constantes dos artigos 27, IV, 29, V, e 55, XIII, da Lei nº 8.666, de 1993, c/c os artigos 1º e 4º da Lei nº 12.440, de 7 de julho de 2011, atentando, em especial, para o salutar efeito do cumprimento desta nova regra sobre o novo Enunciado 331 da Súmula de jurisprudência do TST, sem prejuízo de que a </w:t>
      </w:r>
      <w:proofErr w:type="spellStart"/>
      <w:r w:rsidR="00C73FAC">
        <w:t>Segecex</w:t>
      </w:r>
      <w:proofErr w:type="spellEnd"/>
      <w:r w:rsidR="00C73FAC">
        <w:t xml:space="preserve"> oriente as unidades técnicas do TCU nesse mesmo sentido.</w:t>
      </w:r>
    </w:p>
    <w:p w:rsidR="00DF4F4F" w:rsidRDefault="00DF4F4F" w:rsidP="00C5039D">
      <w:pPr>
        <w:pStyle w:val="TituloPROCANAC"/>
        <w:tabs>
          <w:tab w:val="left" w:pos="709"/>
        </w:tabs>
        <w:spacing w:before="0" w:line="360" w:lineRule="auto"/>
        <w:ind w:left="0" w:firstLine="0"/>
      </w:pPr>
    </w:p>
    <w:p w:rsidR="00777225" w:rsidRDefault="009B7DEF" w:rsidP="00777225">
      <w:pPr>
        <w:pStyle w:val="TituloPROCANAC"/>
        <w:tabs>
          <w:tab w:val="left" w:pos="709"/>
        </w:tabs>
        <w:spacing w:before="0" w:line="360" w:lineRule="auto"/>
        <w:ind w:left="0" w:firstLine="0"/>
      </w:pPr>
      <w:r>
        <w:rPr>
          <w:lang w:eastAsia="pt-BR"/>
        </w:rPr>
        <w:t>4</w:t>
      </w:r>
      <w:r w:rsidR="004756BF">
        <w:rPr>
          <w:lang w:eastAsia="pt-BR"/>
        </w:rPr>
        <w:t>7</w:t>
      </w:r>
      <w:r w:rsidR="00777225">
        <w:rPr>
          <w:lang w:eastAsia="pt-BR"/>
        </w:rPr>
        <w:t>.</w:t>
      </w:r>
      <w:r w:rsidR="00777225">
        <w:rPr>
          <w:lang w:eastAsia="pt-BR"/>
        </w:rPr>
        <w:tab/>
      </w:r>
      <w:r w:rsidR="00777225">
        <w:rPr>
          <w:b/>
          <w:u w:val="single"/>
          <w:lang w:eastAsia="pt-BR"/>
        </w:rPr>
        <w:t>Além da documentação relativa à</w:t>
      </w:r>
      <w:r w:rsidR="007A1D95">
        <w:rPr>
          <w:b/>
          <w:u w:val="single"/>
          <w:lang w:eastAsia="pt-BR"/>
        </w:rPr>
        <w:t>s</w:t>
      </w:r>
      <w:r w:rsidR="00777225">
        <w:rPr>
          <w:b/>
          <w:u w:val="single"/>
          <w:lang w:eastAsia="pt-BR"/>
        </w:rPr>
        <w:t xml:space="preserve"> regularidade</w:t>
      </w:r>
      <w:r w:rsidR="007A1D95">
        <w:rPr>
          <w:b/>
          <w:u w:val="single"/>
          <w:lang w:eastAsia="pt-BR"/>
        </w:rPr>
        <w:t>s</w:t>
      </w:r>
      <w:r w:rsidR="00777225">
        <w:rPr>
          <w:b/>
          <w:u w:val="single"/>
          <w:lang w:eastAsia="pt-BR"/>
        </w:rPr>
        <w:t xml:space="preserve"> fiscal</w:t>
      </w:r>
      <w:r w:rsidR="007A1D95">
        <w:rPr>
          <w:b/>
          <w:u w:val="single"/>
          <w:lang w:eastAsia="pt-BR"/>
        </w:rPr>
        <w:t xml:space="preserve"> e trabalhista</w:t>
      </w:r>
      <w:r w:rsidR="00777225">
        <w:rPr>
          <w:b/>
          <w:u w:val="single"/>
          <w:lang w:eastAsia="pt-BR"/>
        </w:rPr>
        <w:t xml:space="preserve">, aconselha-se a juntada aos autos da comprovação da declaração </w:t>
      </w:r>
      <w:r w:rsidR="00777225">
        <w:rPr>
          <w:b/>
          <w:u w:val="single"/>
        </w:rPr>
        <w:t>de cumprimento aos termos da Lei 9.854/99, consistente em não admitir trabalho noturno, perigoso ou insalubre a menores de dezoito e de qualquer trabalho a menores de dezesseis anos, salvo na condição de aprendiz, a partir de quatorze anos, na forma do art. 7º, XXXIII, da CF/88</w:t>
      </w:r>
      <w:r w:rsidR="00307831">
        <w:rPr>
          <w:b/>
        </w:rPr>
        <w:t xml:space="preserve">, falta que deve ser suprida. </w:t>
      </w:r>
      <w:r w:rsidR="00307831" w:rsidRPr="00307831">
        <w:rPr>
          <w:b/>
          <w:u w:val="single"/>
        </w:rPr>
        <w:t>Igualmente, em cada caso concreto</w:t>
      </w:r>
      <w:r w:rsidR="00307831">
        <w:rPr>
          <w:b/>
          <w:u w:val="single"/>
        </w:rPr>
        <w:t>,</w:t>
      </w:r>
      <w:r w:rsidR="00307831" w:rsidRPr="00307831">
        <w:rPr>
          <w:b/>
          <w:u w:val="single"/>
        </w:rPr>
        <w:t xml:space="preserve"> a Administração deverá solicitar </w:t>
      </w:r>
      <w:r w:rsidR="00307831">
        <w:rPr>
          <w:b/>
          <w:u w:val="single"/>
        </w:rPr>
        <w:t>às</w:t>
      </w:r>
      <w:r w:rsidR="00307831" w:rsidRPr="00307831">
        <w:rPr>
          <w:b/>
          <w:u w:val="single"/>
        </w:rPr>
        <w:t xml:space="preserve"> contratadas esta declaração.</w:t>
      </w:r>
    </w:p>
    <w:p w:rsidR="00777225" w:rsidRDefault="00777225" w:rsidP="00777225">
      <w:pPr>
        <w:pStyle w:val="TituloPROCANAC"/>
        <w:tabs>
          <w:tab w:val="left" w:pos="709"/>
        </w:tabs>
        <w:spacing w:before="0" w:line="360" w:lineRule="auto"/>
        <w:ind w:left="0" w:firstLine="0"/>
        <w:rPr>
          <w:b/>
        </w:rPr>
      </w:pPr>
    </w:p>
    <w:p w:rsidR="00C74A46" w:rsidRDefault="009B7DEF" w:rsidP="00C74A46">
      <w:pPr>
        <w:pStyle w:val="TituloPROCANAC"/>
        <w:tabs>
          <w:tab w:val="clear" w:pos="0"/>
          <w:tab w:val="clear" w:pos="1418"/>
          <w:tab w:val="left" w:pos="709"/>
        </w:tabs>
        <w:spacing w:before="0" w:line="360" w:lineRule="auto"/>
        <w:ind w:left="0" w:firstLine="0"/>
      </w:pPr>
      <w:r>
        <w:t>4</w:t>
      </w:r>
      <w:r w:rsidR="004756BF">
        <w:t>8</w:t>
      </w:r>
      <w:r w:rsidR="00C74A46">
        <w:t>.</w:t>
      </w:r>
      <w:r w:rsidR="00C74A46">
        <w:tab/>
        <w:t xml:space="preserve">Quanto à minuta contratual, </w:t>
      </w:r>
      <w:r w:rsidR="003B6535">
        <w:t>anexa aos autos às fls. 53/60</w:t>
      </w:r>
      <w:r w:rsidR="00C74A46">
        <w:t xml:space="preserve">, </w:t>
      </w:r>
      <w:r w:rsidR="004756BF">
        <w:t>nota-se que as cláusulas estabelecidas respeitam as exigências dadas pelo art. 55</w:t>
      </w:r>
      <w:r w:rsidR="00AD53FA">
        <w:t xml:space="preserve"> da Lei n. 8.666/93. </w:t>
      </w:r>
    </w:p>
    <w:p w:rsidR="00AD53FA" w:rsidRDefault="00AD53FA" w:rsidP="00C74A46">
      <w:pPr>
        <w:pStyle w:val="TituloPROCANAC"/>
        <w:tabs>
          <w:tab w:val="clear" w:pos="0"/>
          <w:tab w:val="clear" w:pos="1418"/>
          <w:tab w:val="left" w:pos="709"/>
        </w:tabs>
        <w:spacing w:before="0" w:line="360" w:lineRule="auto"/>
        <w:ind w:left="0" w:firstLine="0"/>
      </w:pPr>
    </w:p>
    <w:p w:rsidR="00C74A46" w:rsidRPr="00AD53FA" w:rsidRDefault="00AD53FA" w:rsidP="00C74A46">
      <w:pPr>
        <w:pStyle w:val="TituloPROCANAC"/>
        <w:tabs>
          <w:tab w:val="clear" w:pos="0"/>
          <w:tab w:val="clear" w:pos="1418"/>
          <w:tab w:val="left" w:pos="709"/>
        </w:tabs>
        <w:spacing w:before="0" w:line="360" w:lineRule="auto"/>
        <w:ind w:left="0" w:firstLine="0"/>
        <w:rPr>
          <w:b/>
          <w:u w:val="single"/>
        </w:rPr>
      </w:pPr>
      <w:r w:rsidRPr="00C45AF2">
        <w:rPr>
          <w:b/>
        </w:rPr>
        <w:t>49</w:t>
      </w:r>
      <w:r w:rsidR="00C74A46" w:rsidRPr="00C45AF2">
        <w:rPr>
          <w:b/>
        </w:rPr>
        <w:t>.</w:t>
      </w:r>
      <w:r w:rsidR="00C74A46" w:rsidRPr="00C45AF2">
        <w:rPr>
          <w:b/>
          <w:i/>
        </w:rPr>
        <w:tab/>
      </w:r>
      <w:r w:rsidRPr="00AD53FA">
        <w:rPr>
          <w:b/>
          <w:u w:val="single"/>
        </w:rPr>
        <w:t>Nos demais casos,</w:t>
      </w:r>
      <w:r>
        <w:rPr>
          <w:b/>
          <w:u w:val="single"/>
        </w:rPr>
        <w:t xml:space="preserve"> por ser este um Parecer Referencial,</w:t>
      </w:r>
      <w:r w:rsidRPr="00AD53FA">
        <w:rPr>
          <w:b/>
          <w:u w:val="single"/>
        </w:rPr>
        <w:t xml:space="preserve"> a Administração deverá o</w:t>
      </w:r>
      <w:r w:rsidR="00C74A46" w:rsidRPr="00AD53FA">
        <w:rPr>
          <w:b/>
          <w:u w:val="single"/>
        </w:rPr>
        <w:t>bserva</w:t>
      </w:r>
      <w:r w:rsidRPr="00AD53FA">
        <w:rPr>
          <w:b/>
          <w:u w:val="single"/>
        </w:rPr>
        <w:t>r</w:t>
      </w:r>
      <w:r w:rsidR="00C74A46" w:rsidRPr="00AD53FA">
        <w:rPr>
          <w:b/>
          <w:u w:val="single"/>
        </w:rPr>
        <w:t xml:space="preserve">, </w:t>
      </w:r>
      <w:r w:rsidRPr="00AD53FA">
        <w:rPr>
          <w:b/>
          <w:u w:val="single"/>
        </w:rPr>
        <w:t xml:space="preserve">acaso não haja minuta contratual, </w:t>
      </w:r>
      <w:r w:rsidR="00C74A46" w:rsidRPr="00AD53FA">
        <w:rPr>
          <w:b/>
          <w:u w:val="single"/>
        </w:rPr>
        <w:t xml:space="preserve">a possibilidade de o instrumento contratual ser substituído pela nota de empenho, conforme estabelece o art. 62, caput, da Lei 8.666/93. </w:t>
      </w:r>
      <w:r w:rsidR="00C74A46" w:rsidRPr="00AD53FA">
        <w:rPr>
          <w:b/>
          <w:u w:val="single"/>
        </w:rPr>
        <w:lastRenderedPageBreak/>
        <w:t>Nessa hipótese, recomenda-se a inclusão das cláusulas necessárias do art. 55 no que for essencial à contratação.</w:t>
      </w:r>
    </w:p>
    <w:p w:rsidR="00E907D7" w:rsidRDefault="00E907D7" w:rsidP="00C74A46">
      <w:pPr>
        <w:pStyle w:val="TituloPROCANAC"/>
        <w:tabs>
          <w:tab w:val="clear" w:pos="0"/>
          <w:tab w:val="clear" w:pos="1418"/>
          <w:tab w:val="left" w:pos="709"/>
        </w:tabs>
        <w:spacing w:before="0" w:line="360" w:lineRule="auto"/>
        <w:ind w:left="0" w:firstLine="0"/>
      </w:pPr>
    </w:p>
    <w:p w:rsidR="00E907D7" w:rsidRPr="001E0647" w:rsidRDefault="00AD53FA" w:rsidP="00C74A46">
      <w:pPr>
        <w:pStyle w:val="TituloPROCANAC"/>
        <w:tabs>
          <w:tab w:val="clear" w:pos="0"/>
          <w:tab w:val="clear" w:pos="1418"/>
          <w:tab w:val="left" w:pos="709"/>
        </w:tabs>
        <w:spacing w:before="0" w:line="360" w:lineRule="auto"/>
        <w:ind w:left="0" w:firstLine="0"/>
        <w:rPr>
          <w:b/>
          <w:u w:val="single"/>
        </w:rPr>
      </w:pPr>
      <w:r w:rsidRPr="00C45AF2">
        <w:rPr>
          <w:b/>
        </w:rPr>
        <w:t>50</w:t>
      </w:r>
      <w:r w:rsidR="00E907D7" w:rsidRPr="00C45AF2">
        <w:rPr>
          <w:b/>
        </w:rPr>
        <w:t>.</w:t>
      </w:r>
      <w:r w:rsidR="00E907D7" w:rsidRPr="00C45AF2">
        <w:rPr>
          <w:b/>
        </w:rPr>
        <w:tab/>
      </w:r>
      <w:r w:rsidR="00E907D7" w:rsidRPr="001E0647">
        <w:rPr>
          <w:b/>
          <w:u w:val="single"/>
        </w:rPr>
        <w:t xml:space="preserve">Imperioso ressaltar que a Administração também deverá juntar aos processos </w:t>
      </w:r>
      <w:r w:rsidR="0010557C">
        <w:rPr>
          <w:b/>
          <w:u w:val="single"/>
        </w:rPr>
        <w:t>abarcados por este Parecer,</w:t>
      </w:r>
      <w:r w:rsidR="00E907D7" w:rsidRPr="001E0647">
        <w:rPr>
          <w:b/>
          <w:u w:val="single"/>
        </w:rPr>
        <w:t xml:space="preserve"> a competente declaração orçamentária, com os recursos que farão frente às despesas pretendidas, concorde ao Anexo </w:t>
      </w:r>
      <w:r w:rsidR="00A95D17" w:rsidRPr="001E0647">
        <w:rPr>
          <w:b/>
          <w:u w:val="single"/>
        </w:rPr>
        <w:t>VI</w:t>
      </w:r>
      <w:r w:rsidR="00E907D7" w:rsidRPr="001E0647">
        <w:rPr>
          <w:b/>
          <w:u w:val="single"/>
        </w:rPr>
        <w:t>.</w:t>
      </w:r>
      <w:r w:rsidR="001E0647" w:rsidRPr="0010557C">
        <w:rPr>
          <w:b/>
        </w:rPr>
        <w:t xml:space="preserve"> No caso dos autos, este documento encontra-se à fl. 28.</w:t>
      </w:r>
    </w:p>
    <w:p w:rsidR="00C74A46" w:rsidRDefault="00C74A46" w:rsidP="00C74A46">
      <w:pPr>
        <w:pStyle w:val="TituloPROCANAC"/>
        <w:tabs>
          <w:tab w:val="left" w:pos="709"/>
        </w:tabs>
        <w:spacing w:before="0" w:line="360" w:lineRule="auto"/>
        <w:ind w:left="0" w:firstLine="0"/>
      </w:pPr>
    </w:p>
    <w:p w:rsidR="00DF4F4F" w:rsidRDefault="00AD53FA" w:rsidP="00C74A46">
      <w:pPr>
        <w:pStyle w:val="TituloPROCANAC"/>
        <w:tabs>
          <w:tab w:val="left" w:pos="709"/>
        </w:tabs>
        <w:spacing w:before="0" w:line="360" w:lineRule="auto"/>
        <w:ind w:left="0" w:firstLine="0"/>
      </w:pPr>
      <w:r>
        <w:t>51</w:t>
      </w:r>
      <w:r w:rsidR="00C73FAC">
        <w:t>.</w:t>
      </w:r>
      <w:r w:rsidR="00C73FAC">
        <w:tab/>
        <w:t xml:space="preserve">Cumpre destacar que o reconhecimento da inexigibilidade de licitação pelo ordenador de despesas deverá ser submetido no prazo de três dias à autoridade superior, para que esta a ratifique. </w:t>
      </w:r>
      <w:r w:rsidR="00777E72" w:rsidRPr="00A8446A">
        <w:rPr>
          <w:b/>
          <w:u w:val="single"/>
        </w:rPr>
        <w:t xml:space="preserve">Para isso a Administração deverá se valer do modelo de Reconhecimento e Ratificação da Contratação, acostada como </w:t>
      </w:r>
      <w:r w:rsidR="00777E72" w:rsidRPr="001E0647">
        <w:rPr>
          <w:b/>
          <w:u w:val="single"/>
        </w:rPr>
        <w:t xml:space="preserve">Anexo </w:t>
      </w:r>
      <w:r w:rsidR="00A110E3" w:rsidRPr="001E0647">
        <w:rPr>
          <w:b/>
          <w:u w:val="single"/>
        </w:rPr>
        <w:t>VII</w:t>
      </w:r>
      <w:r w:rsidR="00777E72">
        <w:t xml:space="preserve">. </w:t>
      </w:r>
      <w:r w:rsidR="00C73FAC">
        <w:t>De acordo com o Parecer n.º GQ-191/AGU, considera-se autoridade superior aquela que na estrutura hierárquico-organizacional encontra-se imediatamente acima do agente que praticou o ato de reconhecimento.</w:t>
      </w:r>
    </w:p>
    <w:p w:rsidR="00DF4F4F" w:rsidRDefault="00DF4F4F">
      <w:pPr>
        <w:pStyle w:val="TituloPROCANAC"/>
        <w:tabs>
          <w:tab w:val="left" w:pos="709"/>
        </w:tabs>
        <w:spacing w:before="0" w:line="360" w:lineRule="auto"/>
        <w:ind w:left="0" w:firstLine="0"/>
      </w:pPr>
    </w:p>
    <w:p w:rsidR="00DE23BB" w:rsidRPr="00DE23BB" w:rsidRDefault="00AD53FA" w:rsidP="00DE23BB">
      <w:pPr>
        <w:spacing w:line="360" w:lineRule="auto"/>
        <w:jc w:val="both"/>
        <w:rPr>
          <w:b/>
          <w:szCs w:val="24"/>
          <w:u w:val="single"/>
        </w:rPr>
      </w:pPr>
      <w:r w:rsidRPr="00DE23BB">
        <w:rPr>
          <w:b/>
          <w:szCs w:val="24"/>
        </w:rPr>
        <w:t>52</w:t>
      </w:r>
      <w:r w:rsidR="00C73FAC" w:rsidRPr="00DE23BB">
        <w:rPr>
          <w:b/>
          <w:szCs w:val="24"/>
        </w:rPr>
        <w:t>.</w:t>
      </w:r>
      <w:r w:rsidR="00C73FAC" w:rsidRPr="00DE23BB">
        <w:rPr>
          <w:b/>
          <w:szCs w:val="24"/>
        </w:rPr>
        <w:tab/>
      </w:r>
      <w:r w:rsidR="00DE23BB" w:rsidRPr="00DE23BB">
        <w:rPr>
          <w:b/>
          <w:szCs w:val="24"/>
        </w:rPr>
        <w:t xml:space="preserve">Ao seu turno, </w:t>
      </w:r>
      <w:r w:rsidR="00DE23BB" w:rsidRPr="00DE23BB">
        <w:rPr>
          <w:b/>
          <w:szCs w:val="24"/>
          <w:u w:val="single"/>
        </w:rPr>
        <w:t>no que toca à publicação do ato administrativo que autoriza a contratação direta, nas hipóteses de inexigibilidade e dispensa de licitação (incisos III e seguintes do art. 24), cujos valores não ultrapassem aque</w:t>
      </w:r>
      <w:r w:rsidR="00972DC4">
        <w:rPr>
          <w:b/>
          <w:szCs w:val="24"/>
          <w:u w:val="single"/>
        </w:rPr>
        <w:t>les fixados nos incisos I e II,</w:t>
      </w:r>
      <w:r w:rsidR="00DE23BB">
        <w:rPr>
          <w:b/>
          <w:szCs w:val="24"/>
          <w:u w:val="single"/>
        </w:rPr>
        <w:t xml:space="preserve"> </w:t>
      </w:r>
      <w:r w:rsidR="00972DC4">
        <w:rPr>
          <w:b/>
          <w:szCs w:val="24"/>
          <w:u w:val="single"/>
        </w:rPr>
        <w:t>importa transcrever o teor d</w:t>
      </w:r>
      <w:r w:rsidR="00DE23BB" w:rsidRPr="00DE23BB">
        <w:rPr>
          <w:b/>
          <w:szCs w:val="24"/>
          <w:u w:val="single"/>
        </w:rPr>
        <w:t>as Orientações Normativas nº 33 e 34/2011 da Advocacia-Geral da União (AGU):</w:t>
      </w:r>
    </w:p>
    <w:p w:rsidR="00DE23BB" w:rsidRPr="00DE23BB" w:rsidRDefault="00DE23BB" w:rsidP="00DE23BB">
      <w:pPr>
        <w:spacing w:after="120" w:line="360" w:lineRule="auto"/>
        <w:jc w:val="both"/>
        <w:rPr>
          <w:b/>
          <w:szCs w:val="24"/>
        </w:rPr>
      </w:pPr>
    </w:p>
    <w:p w:rsidR="00DE23BB" w:rsidRPr="003E3A3E" w:rsidRDefault="00DE23BB" w:rsidP="00DE23BB">
      <w:pPr>
        <w:ind w:left="2268"/>
        <w:jc w:val="both"/>
        <w:rPr>
          <w:b/>
          <w:sz w:val="22"/>
        </w:rPr>
      </w:pPr>
      <w:r w:rsidRPr="003E3A3E">
        <w:rPr>
          <w:b/>
          <w:sz w:val="22"/>
        </w:rPr>
        <w:t>ORIENTAÇÃO NORMATIVA 33/AGU</w:t>
      </w:r>
    </w:p>
    <w:p w:rsidR="00DE23BB" w:rsidRPr="003E3A3E" w:rsidRDefault="00DE23BB" w:rsidP="00DE23BB">
      <w:pPr>
        <w:ind w:left="2268"/>
        <w:jc w:val="both"/>
        <w:rPr>
          <w:sz w:val="22"/>
        </w:rPr>
      </w:pPr>
      <w:r w:rsidRPr="003E3A3E">
        <w:rPr>
          <w:sz w:val="22"/>
        </w:rPr>
        <w:t>O ATO ADMINISTRATIVO QUE AUTORIZA A CONTRATAÇÃO DIRETA (ART. 17, §§ 2º E 4º, ART. 24, INC. III E SEGUINTES, E ART. 25 DA LEI Nº 8.666, DE 1993) DEVE SER PUBLICADO NA IMPRENSA OFICIAL, SENDO DESNECESSÁRIA A PUBLICAÇÃO DO EXTRATO CONTRATUAL.</w:t>
      </w:r>
    </w:p>
    <w:p w:rsidR="00DE23BB" w:rsidRPr="003E3A3E" w:rsidRDefault="00DE23BB" w:rsidP="00DE23BB">
      <w:pPr>
        <w:ind w:left="2268"/>
        <w:jc w:val="both"/>
        <w:rPr>
          <w:sz w:val="22"/>
        </w:rPr>
      </w:pPr>
    </w:p>
    <w:p w:rsidR="00DE23BB" w:rsidRPr="003E3A3E" w:rsidRDefault="00DE23BB" w:rsidP="00DE23BB">
      <w:pPr>
        <w:ind w:left="2268"/>
        <w:jc w:val="both"/>
        <w:rPr>
          <w:b/>
          <w:sz w:val="22"/>
        </w:rPr>
      </w:pPr>
      <w:r w:rsidRPr="003E3A3E">
        <w:rPr>
          <w:b/>
          <w:sz w:val="22"/>
        </w:rPr>
        <w:t>ORIENTAÇÃO NORMATIVA 34/AGU</w:t>
      </w:r>
    </w:p>
    <w:p w:rsidR="00DE23BB" w:rsidRPr="003E3A3E" w:rsidRDefault="00DE23BB" w:rsidP="00DE23BB">
      <w:pPr>
        <w:ind w:left="2268"/>
        <w:jc w:val="both"/>
        <w:rPr>
          <w:sz w:val="22"/>
        </w:rPr>
      </w:pPr>
      <w:r w:rsidRPr="003E3A3E">
        <w:rPr>
          <w:sz w:val="22"/>
        </w:rPr>
        <w:t xml:space="preserve">AS HIPÓTESES DE INEXIGIBILIDADE (ART. 25) E DISPENSA DE LICITAÇÃO (INCISOS III E SEGUINTES DO ART. 24) DA LEI Nº 8.666 DE 1993, CUJOS VALORES NÃO ULTRAPASSEM AQUELES FIXADOS NOS INCISOS I E II DO ART. 24 DA MESMA LEI, DISPENSAM A PUBLICAÇÃO NA IMPRENSA OFICIAL DO ATO QUE AUTORIZA A CONTRATAÇÃO DIRETA, EM VIRTUDE DOS PRINCÍPIOS DA ECONOMICIDADE E EFICIÊNCIA, SEM PREJUÍZO DA UTILIZAÇÃO DE </w:t>
      </w:r>
      <w:r w:rsidRPr="003E3A3E">
        <w:rPr>
          <w:sz w:val="22"/>
        </w:rPr>
        <w:lastRenderedPageBreak/>
        <w:t>MEIOS ELETRÔNICOS DE PUBLICIDADE DOS ATOS E DA OBSERVÂNCIA DOS DEMAIS REQUISITOS DO ART. 26 E DE SEU PARÁGRAFO ÚNICO, RESPEITANDO-SE O FUNDAMENTO JURÍDICO QUE AMPAROU A DISPENSA E A INEXIGIBILIDADE.</w:t>
      </w:r>
    </w:p>
    <w:p w:rsidR="00DE23BB" w:rsidRPr="00DE23BB" w:rsidRDefault="00DE23BB" w:rsidP="00DE23BB">
      <w:pPr>
        <w:spacing w:line="360" w:lineRule="auto"/>
        <w:jc w:val="both"/>
        <w:rPr>
          <w:b/>
          <w:szCs w:val="24"/>
        </w:rPr>
      </w:pPr>
    </w:p>
    <w:p w:rsidR="00DE23BB" w:rsidRPr="003E3A3E" w:rsidRDefault="003E3A3E" w:rsidP="00DE23BB">
      <w:pPr>
        <w:spacing w:line="360" w:lineRule="auto"/>
        <w:jc w:val="both"/>
        <w:rPr>
          <w:szCs w:val="24"/>
        </w:rPr>
      </w:pPr>
      <w:r w:rsidRPr="003E3A3E">
        <w:rPr>
          <w:szCs w:val="24"/>
        </w:rPr>
        <w:t>53.</w:t>
      </w:r>
      <w:r w:rsidRPr="003E3A3E">
        <w:rPr>
          <w:szCs w:val="24"/>
        </w:rPr>
        <w:tab/>
      </w:r>
      <w:r w:rsidR="00DE23BB" w:rsidRPr="003E3A3E">
        <w:rPr>
          <w:szCs w:val="24"/>
        </w:rPr>
        <w:t>O Tribunal de Contas da União, por meio do Acórdão nº 236/2010-2ª Câmara (TC-027.159/2008-8 item 1.4.1.3, DOU de 05.02.2010, Seção 1, p. 133) quanto à publicação assim se pronunciou:</w:t>
      </w:r>
    </w:p>
    <w:p w:rsidR="00DE23BB" w:rsidRPr="003E3A3E" w:rsidRDefault="00DE23BB" w:rsidP="00DE23BB">
      <w:pPr>
        <w:ind w:left="1418"/>
        <w:jc w:val="both"/>
        <w:rPr>
          <w:szCs w:val="24"/>
        </w:rPr>
      </w:pPr>
    </w:p>
    <w:p w:rsidR="00DE23BB" w:rsidRPr="003E3A3E" w:rsidRDefault="00DE23BB" w:rsidP="003E3A3E">
      <w:pPr>
        <w:ind w:left="2268"/>
        <w:jc w:val="both"/>
        <w:rPr>
          <w:sz w:val="22"/>
          <w:szCs w:val="22"/>
          <w:u w:val="single"/>
        </w:rPr>
      </w:pPr>
      <w:r w:rsidRPr="003E3A3E">
        <w:rPr>
          <w:b/>
          <w:sz w:val="22"/>
          <w:szCs w:val="22"/>
        </w:rPr>
        <w:t>Ementa:</w:t>
      </w:r>
      <w:r w:rsidRPr="003E3A3E">
        <w:rPr>
          <w:sz w:val="22"/>
          <w:szCs w:val="22"/>
        </w:rPr>
        <w:t xml:space="preserve"> Determinação à Universidade Federal do Paraná (UFPR) para que providencie a publicação no Diário Oficial da União dos processos de dispensa e de inexigibilidade de licitação (a que se refere o art. 24, incisos III a XXIV, e o art. 25 da Lei nº 8.666/1993), </w:t>
      </w:r>
      <w:r w:rsidRPr="00B30AD0">
        <w:rPr>
          <w:b/>
          <w:sz w:val="22"/>
          <w:szCs w:val="22"/>
          <w:u w:val="single"/>
        </w:rPr>
        <w:t>salvo se, em observância ao princípio da economicidade, os valores contratados estiverem dentro dos limites fixados nos arts. 24, I e II, da Lei nº 8.666/1993, nos termos do seu art. 26.</w:t>
      </w:r>
    </w:p>
    <w:p w:rsidR="00DE23BB" w:rsidRPr="00DE23BB" w:rsidRDefault="00DE23BB" w:rsidP="00DE23BB">
      <w:pPr>
        <w:spacing w:line="360" w:lineRule="auto"/>
        <w:jc w:val="both"/>
        <w:rPr>
          <w:b/>
          <w:szCs w:val="24"/>
          <w:highlight w:val="yellow"/>
        </w:rPr>
      </w:pPr>
    </w:p>
    <w:p w:rsidR="00DF4F4F" w:rsidRPr="00DE23BB" w:rsidRDefault="00B30AD0" w:rsidP="00DE23BB">
      <w:pPr>
        <w:pStyle w:val="TituloPROCANAC"/>
        <w:tabs>
          <w:tab w:val="left" w:pos="709"/>
        </w:tabs>
        <w:spacing w:before="0" w:line="360" w:lineRule="auto"/>
        <w:ind w:left="0" w:firstLine="0"/>
        <w:rPr>
          <w:b/>
        </w:rPr>
      </w:pPr>
      <w:r>
        <w:rPr>
          <w:b/>
        </w:rPr>
        <w:t>54</w:t>
      </w:r>
      <w:r w:rsidR="00DE23BB" w:rsidRPr="00DE23BB">
        <w:rPr>
          <w:b/>
        </w:rPr>
        <w:t>.</w:t>
      </w:r>
      <w:r w:rsidR="00DE23BB" w:rsidRPr="00DE23BB">
        <w:rPr>
          <w:b/>
        </w:rPr>
        <w:tab/>
        <w:t xml:space="preserve">Nessa toada, no caso em análise a contratação importará em despesa de </w:t>
      </w:r>
      <w:r w:rsidR="00DE23BB" w:rsidRPr="00DE23BB">
        <w:rPr>
          <w:b/>
          <w:u w:val="single"/>
        </w:rPr>
        <w:t xml:space="preserve">R$ </w:t>
      </w:r>
      <w:r>
        <w:rPr>
          <w:b/>
          <w:u w:val="single"/>
        </w:rPr>
        <w:t>16</w:t>
      </w:r>
      <w:r w:rsidR="00DE23BB" w:rsidRPr="00DE23BB">
        <w:rPr>
          <w:b/>
          <w:u w:val="single"/>
        </w:rPr>
        <w:t>.</w:t>
      </w:r>
      <w:r>
        <w:rPr>
          <w:b/>
          <w:u w:val="single"/>
        </w:rPr>
        <w:t>932</w:t>
      </w:r>
      <w:r w:rsidR="00DE23BB" w:rsidRPr="00DE23BB">
        <w:rPr>
          <w:b/>
          <w:u w:val="single"/>
        </w:rPr>
        <w:t xml:space="preserve">,00 – </w:t>
      </w:r>
      <w:r>
        <w:rPr>
          <w:b/>
          <w:u w:val="single"/>
        </w:rPr>
        <w:t>dezesseis mil novecentos e trinta e dois reais</w:t>
      </w:r>
      <w:r w:rsidR="00DE23BB" w:rsidRPr="00DE23BB">
        <w:rPr>
          <w:b/>
          <w:u w:val="single"/>
        </w:rPr>
        <w:t xml:space="preserve"> (fl. </w:t>
      </w:r>
      <w:r>
        <w:rPr>
          <w:b/>
          <w:u w:val="single"/>
        </w:rPr>
        <w:t>35</w:t>
      </w:r>
      <w:r w:rsidR="00DE23BB" w:rsidRPr="00DE23BB">
        <w:rPr>
          <w:b/>
          <w:u w:val="single"/>
        </w:rPr>
        <w:t xml:space="preserve">, item </w:t>
      </w:r>
      <w:proofErr w:type="gramStart"/>
      <w:r>
        <w:rPr>
          <w:b/>
          <w:u w:val="single"/>
        </w:rPr>
        <w:t>3</w:t>
      </w:r>
      <w:proofErr w:type="gramEnd"/>
      <w:r w:rsidR="00DE23BB" w:rsidRPr="00DE23BB">
        <w:rPr>
          <w:b/>
          <w:u w:val="single"/>
        </w:rPr>
        <w:t>)</w:t>
      </w:r>
      <w:r w:rsidR="00DE23BB" w:rsidRPr="00DE23BB">
        <w:rPr>
          <w:b/>
        </w:rPr>
        <w:t>, o que ultrapassa o limite previsto no art. 24, inciso II, da Lei nº 8.666/93</w:t>
      </w:r>
      <w:r w:rsidR="00DE23BB" w:rsidRPr="00DE23BB">
        <w:rPr>
          <w:rStyle w:val="Refdenotaderodap"/>
          <w:b/>
        </w:rPr>
        <w:footnoteReference w:id="8"/>
      </w:r>
      <w:r w:rsidR="00DE23BB" w:rsidRPr="00DE23BB">
        <w:rPr>
          <w:b/>
        </w:rPr>
        <w:t xml:space="preserve"> (como ocorre na grande maioria das situações análogas). Assim, neste caso </w:t>
      </w:r>
      <w:r w:rsidR="00DE23BB" w:rsidRPr="00DE23BB">
        <w:rPr>
          <w:b/>
          <w:u w:val="single"/>
        </w:rPr>
        <w:t>SERÁ</w:t>
      </w:r>
      <w:r w:rsidR="00DE23BB" w:rsidRPr="00DE23BB">
        <w:rPr>
          <w:b/>
        </w:rPr>
        <w:t xml:space="preserve"> necessário providenciar a publicação do ato administrativo que autoriza a contratação direta na imprensa oficial, sem prejuízo da observância dos demais requisitos previstos no art. 26 da Lei nº </w:t>
      </w:r>
      <w:proofErr w:type="gramStart"/>
      <w:r w:rsidR="00DE23BB" w:rsidRPr="00DE23BB">
        <w:rPr>
          <w:b/>
        </w:rPr>
        <w:t>8.666/93, em consonância com o disposto na ON AGU nº</w:t>
      </w:r>
      <w:proofErr w:type="gramEnd"/>
      <w:r w:rsidR="00DE23BB" w:rsidRPr="00DE23BB">
        <w:rPr>
          <w:b/>
        </w:rPr>
        <w:t xml:space="preserve"> 34/2011. </w:t>
      </w:r>
      <w:r w:rsidR="00DE23BB" w:rsidRPr="004D6659">
        <w:rPr>
          <w:b/>
          <w:u w:val="single"/>
        </w:rPr>
        <w:t>É bom ressaltar, porém, que</w:t>
      </w:r>
      <w:r w:rsidR="004D7CCA">
        <w:rPr>
          <w:b/>
          <w:u w:val="single"/>
        </w:rPr>
        <w:t xml:space="preserve"> como</w:t>
      </w:r>
      <w:r w:rsidR="00DE23BB" w:rsidRPr="004D6659">
        <w:rPr>
          <w:b/>
          <w:u w:val="single"/>
        </w:rPr>
        <w:t xml:space="preserve"> se trata de parecer referencial e, em assim sendo, se Administração pretender realizar contratação que </w:t>
      </w:r>
      <w:r w:rsidR="004D6659">
        <w:rPr>
          <w:b/>
          <w:u w:val="single"/>
        </w:rPr>
        <w:t>seja inferior</w:t>
      </w:r>
      <w:r w:rsidR="00DE23BB" w:rsidRPr="004D6659">
        <w:rPr>
          <w:b/>
          <w:u w:val="single"/>
        </w:rPr>
        <w:t xml:space="preserve"> </w:t>
      </w:r>
      <w:r w:rsidR="004D6659">
        <w:rPr>
          <w:b/>
          <w:u w:val="single"/>
        </w:rPr>
        <w:t>a</w:t>
      </w:r>
      <w:r w:rsidR="00DE23BB" w:rsidRPr="004D6659">
        <w:rPr>
          <w:b/>
          <w:u w:val="single"/>
        </w:rPr>
        <w:t xml:space="preserve">o limite de R$ 8 mil, a publicação no DOU será </w:t>
      </w:r>
      <w:r w:rsidR="004D6659">
        <w:rPr>
          <w:b/>
          <w:u w:val="single"/>
        </w:rPr>
        <w:t>des</w:t>
      </w:r>
      <w:r w:rsidR="00DE23BB" w:rsidRPr="004D6659">
        <w:rPr>
          <w:b/>
          <w:u w:val="single"/>
        </w:rPr>
        <w:t>necessária, na forma da ON nº 33/2011 acima.</w:t>
      </w:r>
    </w:p>
    <w:p w:rsidR="00505367" w:rsidRDefault="00505367" w:rsidP="00505367">
      <w:pPr>
        <w:pStyle w:val="TituloPROCANAC"/>
        <w:tabs>
          <w:tab w:val="left" w:pos="709"/>
        </w:tabs>
        <w:spacing w:before="0" w:line="360" w:lineRule="auto"/>
        <w:ind w:left="0" w:firstLine="0"/>
      </w:pPr>
    </w:p>
    <w:p w:rsidR="00607075" w:rsidRDefault="00AD53FA" w:rsidP="00607075">
      <w:pPr>
        <w:pStyle w:val="TituloPROCANAC"/>
        <w:tabs>
          <w:tab w:val="left" w:pos="709"/>
        </w:tabs>
        <w:spacing w:before="0" w:line="360" w:lineRule="auto"/>
        <w:ind w:left="0" w:firstLine="0"/>
      </w:pPr>
      <w:r>
        <w:t>5</w:t>
      </w:r>
      <w:r w:rsidR="00034799">
        <w:t>5</w:t>
      </w:r>
      <w:r w:rsidR="00607075">
        <w:t>.</w:t>
      </w:r>
      <w:r w:rsidR="00607075">
        <w:tab/>
      </w:r>
      <w:r w:rsidR="00607075">
        <w:rPr>
          <w:b/>
        </w:rPr>
        <w:t>É de se esclarecer, por fim, que a manifestação jurídica da Procuradoria pretende apenas avaliar a contratação proposta, não sendo objeto de análise a conveniência e a oportunidade da contratação direta uma vez que desbordam da sua atribuição.</w:t>
      </w:r>
    </w:p>
    <w:p w:rsidR="00DF4F4F" w:rsidRDefault="00DF4F4F">
      <w:pPr>
        <w:pStyle w:val="western"/>
        <w:overflowPunct w:val="0"/>
        <w:spacing w:before="0"/>
        <w:textAlignment w:val="auto"/>
        <w:rPr>
          <w:rFonts w:ascii="Times New Roman" w:hAnsi="Times New Roman" w:cs="Times New Roman"/>
          <w:color w:val="000000"/>
        </w:rPr>
      </w:pPr>
    </w:p>
    <w:p w:rsidR="00DF4F4F" w:rsidRDefault="00C73FAC">
      <w:pPr>
        <w:pStyle w:val="NormalWeb"/>
        <w:spacing w:before="0" w:after="0" w:line="360" w:lineRule="auto"/>
        <w:rPr>
          <w:b/>
          <w:bCs/>
        </w:rPr>
      </w:pPr>
      <w:r>
        <w:rPr>
          <w:b/>
          <w:bCs/>
        </w:rPr>
        <w:t>III – CONCLUSÃO</w:t>
      </w:r>
    </w:p>
    <w:p w:rsidR="00DF4F4F" w:rsidRDefault="00DF4F4F">
      <w:pPr>
        <w:pStyle w:val="western"/>
        <w:spacing w:before="0"/>
        <w:ind w:firstLine="1701"/>
        <w:rPr>
          <w:rFonts w:ascii="Times New Roman" w:hAnsi="Times New Roman" w:cs="Times New Roman"/>
          <w:color w:val="000000"/>
        </w:rPr>
      </w:pPr>
    </w:p>
    <w:p w:rsidR="00DF4F4F" w:rsidRDefault="009B7DEF">
      <w:pPr>
        <w:pStyle w:val="western"/>
        <w:overflowPunct w:val="0"/>
        <w:spacing w:before="0"/>
        <w:textAlignment w:val="auto"/>
      </w:pPr>
      <w:r>
        <w:rPr>
          <w:rFonts w:ascii="Times New Roman" w:hAnsi="Times New Roman" w:cs="Times New Roman"/>
          <w:color w:val="000000"/>
        </w:rPr>
        <w:lastRenderedPageBreak/>
        <w:t>5</w:t>
      </w:r>
      <w:r w:rsidR="00034799">
        <w:rPr>
          <w:rFonts w:ascii="Times New Roman" w:hAnsi="Times New Roman" w:cs="Times New Roman"/>
          <w:color w:val="000000"/>
        </w:rPr>
        <w:t>6</w:t>
      </w:r>
      <w:r w:rsidR="00FE19A4">
        <w:rPr>
          <w:rFonts w:ascii="Times New Roman" w:hAnsi="Times New Roman" w:cs="Times New Roman"/>
          <w:color w:val="000000"/>
        </w:rPr>
        <w:t>.</w:t>
      </w:r>
      <w:r w:rsidR="00C73FAC">
        <w:rPr>
          <w:rFonts w:ascii="Times New Roman" w:hAnsi="Times New Roman" w:cs="Times New Roman"/>
          <w:color w:val="000000"/>
        </w:rPr>
        <w:tab/>
      </w:r>
      <w:r w:rsidR="00034799" w:rsidRPr="00034799">
        <w:rPr>
          <w:rFonts w:ascii="Times New Roman" w:hAnsi="Times New Roman" w:cs="Times New Roman"/>
          <w:color w:val="000000"/>
        </w:rPr>
        <w:t>Diante do oposto, em sede de controle prévio de juridicidade, entende-se que a presente contratação direta de serviços técnicos profissionais especializados, objeto desse procedimento, encontra guarida no art. 13, inciso VI, c/c, art. 25, inciso II, da Lei nº 8.666/93 e</w:t>
      </w:r>
      <w:r w:rsidR="00034799" w:rsidRPr="00034799">
        <w:rPr>
          <w:rFonts w:ascii="Times New Roman" w:hAnsi="Times New Roman" w:cs="Times New Roman"/>
        </w:rPr>
        <w:t xml:space="preserve"> nas transcritas orientações normativas da AGU, </w:t>
      </w:r>
      <w:r w:rsidR="00034799" w:rsidRPr="00034799">
        <w:rPr>
          <w:rFonts w:ascii="Times New Roman" w:hAnsi="Times New Roman" w:cs="Times New Roman"/>
          <w:b/>
          <w:u w:val="single"/>
        </w:rPr>
        <w:t>desde</w:t>
      </w:r>
      <w:r w:rsidR="00034799" w:rsidRPr="00034799">
        <w:rPr>
          <w:rFonts w:ascii="Times New Roman" w:hAnsi="Times New Roman" w:cs="Times New Roman"/>
          <w:b/>
          <w:color w:val="000000"/>
          <w:u w:val="single"/>
        </w:rPr>
        <w:t xml:space="preserve"> que sejam observadas</w:t>
      </w:r>
      <w:r w:rsidR="00034799" w:rsidRPr="00034799">
        <w:rPr>
          <w:rFonts w:ascii="Times New Roman" w:eastAsia="Times New Roman" w:hAnsi="Times New Roman" w:cs="Times New Roman"/>
          <w:b/>
          <w:color w:val="000000"/>
          <w:u w:val="single"/>
        </w:rPr>
        <w:t xml:space="preserve"> </w:t>
      </w:r>
      <w:r w:rsidR="00034799" w:rsidRPr="00034799">
        <w:rPr>
          <w:rFonts w:ascii="Times New Roman" w:hAnsi="Times New Roman" w:cs="Times New Roman"/>
          <w:b/>
          <w:color w:val="000000"/>
          <w:u w:val="single"/>
        </w:rPr>
        <w:t>todas</w:t>
      </w:r>
      <w:r w:rsidR="00034799" w:rsidRPr="00034799">
        <w:rPr>
          <w:rFonts w:ascii="Times New Roman" w:eastAsia="Times New Roman" w:hAnsi="Times New Roman" w:cs="Times New Roman"/>
          <w:b/>
          <w:color w:val="000000"/>
          <w:u w:val="single"/>
        </w:rPr>
        <w:t xml:space="preserve"> </w:t>
      </w:r>
      <w:r w:rsidR="00034799" w:rsidRPr="00034799">
        <w:rPr>
          <w:rFonts w:ascii="Times New Roman" w:hAnsi="Times New Roman" w:cs="Times New Roman"/>
          <w:b/>
          <w:color w:val="000000"/>
          <w:u w:val="single"/>
        </w:rPr>
        <w:t>as</w:t>
      </w:r>
      <w:r w:rsidR="00034799" w:rsidRPr="00034799">
        <w:rPr>
          <w:rFonts w:ascii="Times New Roman" w:eastAsia="Times New Roman" w:hAnsi="Times New Roman" w:cs="Times New Roman"/>
          <w:b/>
          <w:color w:val="000000"/>
          <w:u w:val="single"/>
        </w:rPr>
        <w:t xml:space="preserve"> </w:t>
      </w:r>
      <w:r w:rsidR="00034799" w:rsidRPr="00034799">
        <w:rPr>
          <w:rFonts w:ascii="Times New Roman" w:hAnsi="Times New Roman" w:cs="Times New Roman"/>
          <w:b/>
          <w:color w:val="000000"/>
          <w:u w:val="single"/>
        </w:rPr>
        <w:t>recomendações</w:t>
      </w:r>
      <w:r w:rsidR="00034799" w:rsidRPr="00034799">
        <w:rPr>
          <w:rFonts w:ascii="Times New Roman" w:eastAsia="Times New Roman" w:hAnsi="Times New Roman" w:cs="Times New Roman"/>
          <w:b/>
          <w:color w:val="000000"/>
          <w:u w:val="single"/>
        </w:rPr>
        <w:t xml:space="preserve"> </w:t>
      </w:r>
      <w:r w:rsidR="00034799" w:rsidRPr="00034799">
        <w:rPr>
          <w:rFonts w:ascii="Times New Roman" w:hAnsi="Times New Roman" w:cs="Times New Roman"/>
          <w:b/>
          <w:color w:val="000000"/>
          <w:u w:val="single"/>
        </w:rPr>
        <w:t>expostas</w:t>
      </w:r>
      <w:r w:rsidR="00034799" w:rsidRPr="00034799">
        <w:rPr>
          <w:rFonts w:ascii="Times New Roman" w:eastAsia="Times New Roman" w:hAnsi="Times New Roman" w:cs="Times New Roman"/>
          <w:b/>
          <w:color w:val="000000"/>
          <w:u w:val="single"/>
        </w:rPr>
        <w:t xml:space="preserve"> </w:t>
      </w:r>
      <w:r w:rsidR="00034799" w:rsidRPr="00034799">
        <w:rPr>
          <w:rFonts w:ascii="Times New Roman" w:hAnsi="Times New Roman" w:cs="Times New Roman"/>
          <w:b/>
          <w:color w:val="000000"/>
          <w:u w:val="single"/>
        </w:rPr>
        <w:t>nest</w:t>
      </w:r>
      <w:r w:rsidR="00034799">
        <w:rPr>
          <w:rFonts w:ascii="Times New Roman" w:hAnsi="Times New Roman" w:cs="Times New Roman"/>
          <w:b/>
          <w:color w:val="000000"/>
          <w:u w:val="single"/>
        </w:rPr>
        <w:t>e Parecer Referencial</w:t>
      </w:r>
      <w:r w:rsidR="00962697">
        <w:rPr>
          <w:rFonts w:ascii="Times New Roman" w:hAnsi="Times New Roman" w:cs="Times New Roman"/>
          <w:b/>
          <w:color w:val="000000"/>
          <w:u w:val="single"/>
        </w:rPr>
        <w:t>, e no caso analisado nestes autos, especificamente as seguintes observações:</w:t>
      </w:r>
    </w:p>
    <w:p w:rsidR="00DF4F4F" w:rsidRDefault="00DF4F4F">
      <w:pPr>
        <w:pStyle w:val="western"/>
        <w:overflowPunct w:val="0"/>
        <w:spacing w:before="0"/>
        <w:textAlignment w:val="auto"/>
        <w:rPr>
          <w:rFonts w:ascii="Times New Roman" w:hAnsi="Times New Roman" w:cs="Times New Roman"/>
          <w:b/>
          <w:color w:val="000000"/>
          <w:u w:val="single"/>
        </w:rPr>
      </w:pPr>
    </w:p>
    <w:p w:rsidR="00974C79" w:rsidRPr="006A485B" w:rsidRDefault="00C73FAC">
      <w:pPr>
        <w:pStyle w:val="western"/>
        <w:spacing w:before="0"/>
        <w:ind w:left="2268"/>
        <w:textAlignment w:val="auto"/>
        <w:rPr>
          <w:rFonts w:ascii="Times New Roman" w:hAnsi="Times New Roman" w:cs="Times New Roman"/>
        </w:rPr>
      </w:pPr>
      <w:r>
        <w:rPr>
          <w:rFonts w:ascii="Times New Roman" w:hAnsi="Times New Roman" w:cs="Times New Roman"/>
          <w:color w:val="000000"/>
        </w:rPr>
        <w:t>a)</w:t>
      </w:r>
      <w:r w:rsidR="00764D89">
        <w:rPr>
          <w:rFonts w:ascii="Times New Roman" w:hAnsi="Times New Roman" w:cs="Times New Roman"/>
          <w:color w:val="000000"/>
        </w:rPr>
        <w:t xml:space="preserve"> </w:t>
      </w:r>
      <w:r w:rsidR="00C10327">
        <w:rPr>
          <w:rFonts w:ascii="Times New Roman" w:hAnsi="Times New Roman" w:cs="Times New Roman"/>
          <w:color w:val="000000"/>
        </w:rPr>
        <w:t>Q</w:t>
      </w:r>
      <w:r w:rsidR="00C10327" w:rsidRPr="00C10327">
        <w:rPr>
          <w:rFonts w:ascii="Times New Roman" w:hAnsi="Times New Roman" w:cs="Times New Roman"/>
          <w:color w:val="000000"/>
        </w:rPr>
        <w:t xml:space="preserve">ue, para garantir a completa instrução processual, </w:t>
      </w:r>
      <w:r w:rsidR="00C10327">
        <w:rPr>
          <w:rFonts w:ascii="Times New Roman" w:hAnsi="Times New Roman" w:cs="Times New Roman"/>
          <w:color w:val="000000"/>
        </w:rPr>
        <w:t xml:space="preserve">haja </w:t>
      </w:r>
      <w:r w:rsidR="00C10327" w:rsidRPr="00C10327">
        <w:rPr>
          <w:rFonts w:ascii="Times New Roman" w:hAnsi="Times New Roman" w:cs="Times New Roman"/>
          <w:color w:val="000000"/>
        </w:rPr>
        <w:t xml:space="preserve">o pronunciamento da chefia imediata </w:t>
      </w:r>
      <w:r w:rsidR="00C10327" w:rsidRPr="00C10327">
        <w:rPr>
          <w:rFonts w:ascii="Times New Roman" w:hAnsi="Times New Roman" w:cs="Times New Roman"/>
          <w:highlight w:val="white"/>
        </w:rPr>
        <w:t xml:space="preserve">dos </w:t>
      </w:r>
      <w:r w:rsidR="0010557C" w:rsidRPr="0010557C">
        <w:rPr>
          <w:rFonts w:ascii="Times New Roman" w:hAnsi="Times New Roman" w:cs="Times New Roman"/>
        </w:rPr>
        <w:t xml:space="preserve">Jarbas Lopes </w:t>
      </w:r>
      <w:proofErr w:type="spellStart"/>
      <w:r w:rsidR="0010557C" w:rsidRPr="0010557C">
        <w:rPr>
          <w:rFonts w:ascii="Times New Roman" w:hAnsi="Times New Roman" w:cs="Times New Roman"/>
        </w:rPr>
        <w:t>Ibrain</w:t>
      </w:r>
      <w:proofErr w:type="spellEnd"/>
      <w:r w:rsidR="0010557C" w:rsidRPr="0010557C">
        <w:rPr>
          <w:rFonts w:ascii="Times New Roman" w:hAnsi="Times New Roman" w:cs="Times New Roman"/>
        </w:rPr>
        <w:t xml:space="preserve">, </w:t>
      </w:r>
      <w:proofErr w:type="spellStart"/>
      <w:r w:rsidR="0010557C" w:rsidRPr="0010557C">
        <w:rPr>
          <w:rFonts w:ascii="Times New Roman" w:hAnsi="Times New Roman" w:cs="Times New Roman"/>
        </w:rPr>
        <w:t>Clebson</w:t>
      </w:r>
      <w:proofErr w:type="spellEnd"/>
      <w:r w:rsidR="0010557C" w:rsidRPr="0010557C">
        <w:rPr>
          <w:rFonts w:ascii="Times New Roman" w:hAnsi="Times New Roman" w:cs="Times New Roman"/>
        </w:rPr>
        <w:t xml:space="preserve"> José, André Rodrigues, </w:t>
      </w:r>
      <w:proofErr w:type="spellStart"/>
      <w:r w:rsidR="0010557C" w:rsidRPr="0010557C">
        <w:rPr>
          <w:rFonts w:ascii="Times New Roman" w:hAnsi="Times New Roman" w:cs="Times New Roman"/>
        </w:rPr>
        <w:t>Deyvid</w:t>
      </w:r>
      <w:proofErr w:type="spellEnd"/>
      <w:r w:rsidR="0010557C" w:rsidRPr="0010557C">
        <w:rPr>
          <w:rFonts w:ascii="Times New Roman" w:hAnsi="Times New Roman" w:cs="Times New Roman"/>
        </w:rPr>
        <w:t xml:space="preserve"> </w:t>
      </w:r>
      <w:proofErr w:type="spellStart"/>
      <w:r w:rsidR="0010557C" w:rsidRPr="0010557C">
        <w:rPr>
          <w:rFonts w:ascii="Times New Roman" w:hAnsi="Times New Roman" w:cs="Times New Roman"/>
        </w:rPr>
        <w:t>Wilkerson</w:t>
      </w:r>
      <w:proofErr w:type="spellEnd"/>
      <w:r w:rsidR="0010557C" w:rsidRPr="0010557C">
        <w:rPr>
          <w:rFonts w:ascii="Times New Roman" w:hAnsi="Times New Roman" w:cs="Times New Roman"/>
        </w:rPr>
        <w:t xml:space="preserve"> de Souza, Francisco Manoel Xavier, Marcelo Fernandes Vieira Abreu e Wellington Santos Nunes</w:t>
      </w:r>
      <w:r w:rsidR="00C10327" w:rsidRPr="00C10327">
        <w:rPr>
          <w:rFonts w:ascii="Times New Roman" w:hAnsi="Times New Roman" w:cs="Times New Roman"/>
          <w:color w:val="000000"/>
        </w:rPr>
        <w:t xml:space="preserve"> também acerca da questão identificada no item “</w:t>
      </w:r>
      <w:r w:rsidR="0010557C">
        <w:rPr>
          <w:rFonts w:ascii="Times New Roman" w:hAnsi="Times New Roman" w:cs="Times New Roman"/>
          <w:color w:val="000000"/>
        </w:rPr>
        <w:t>15</w:t>
      </w:r>
      <w:r w:rsidR="00C10327" w:rsidRPr="00C10327">
        <w:rPr>
          <w:rFonts w:ascii="Times New Roman" w:hAnsi="Times New Roman" w:cs="Times New Roman"/>
          <w:color w:val="000000"/>
        </w:rPr>
        <w:t xml:space="preserve">” deste Parecer, qual seja, </w:t>
      </w:r>
      <w:r w:rsidR="00C10327" w:rsidRPr="00C10327">
        <w:rPr>
          <w:rFonts w:ascii="Times New Roman" w:hAnsi="Times New Roman" w:cs="Times New Roman"/>
        </w:rPr>
        <w:t>se o momento da capacitação é o mais oportuno para a entidade, no sentido de o afastamento não causar prejuízos ao serviço público</w:t>
      </w:r>
      <w:r w:rsidR="006A485B">
        <w:rPr>
          <w:rFonts w:ascii="Times New Roman" w:hAnsi="Times New Roman" w:cs="Times New Roman"/>
        </w:rPr>
        <w:t>;</w:t>
      </w:r>
    </w:p>
    <w:p w:rsidR="00BD4D11" w:rsidRDefault="00B869B5">
      <w:pPr>
        <w:pStyle w:val="western"/>
        <w:spacing w:before="0"/>
        <w:ind w:left="2268"/>
        <w:textAlignment w:val="auto"/>
        <w:rPr>
          <w:rFonts w:ascii="Times New Roman" w:hAnsi="Times New Roman" w:cs="Times New Roman"/>
          <w:color w:val="000000"/>
        </w:rPr>
      </w:pPr>
      <w:r>
        <w:rPr>
          <w:rFonts w:ascii="Times New Roman" w:hAnsi="Times New Roman" w:cs="Times New Roman"/>
          <w:color w:val="000000"/>
        </w:rPr>
        <w:t xml:space="preserve">b) </w:t>
      </w:r>
      <w:r w:rsidR="00AF67B0">
        <w:rPr>
          <w:rFonts w:ascii="Times New Roman" w:hAnsi="Times New Roman" w:cs="Times New Roman"/>
          <w:color w:val="000000"/>
        </w:rPr>
        <w:t xml:space="preserve">que </w:t>
      </w:r>
      <w:proofErr w:type="gramStart"/>
      <w:r w:rsidR="00AF67B0">
        <w:rPr>
          <w:rFonts w:ascii="Times New Roman" w:hAnsi="Times New Roman" w:cs="Times New Roman"/>
          <w:color w:val="000000"/>
        </w:rPr>
        <w:t>o</w:t>
      </w:r>
      <w:r w:rsidR="00AF67B0" w:rsidRPr="00AF67B0">
        <w:rPr>
          <w:rFonts w:ascii="Times New Roman" w:hAnsi="Times New Roman" w:cs="Times New Roman"/>
          <w:color w:val="000000"/>
        </w:rPr>
        <w:t>(</w:t>
      </w:r>
      <w:proofErr w:type="gramEnd"/>
      <w:r w:rsidR="00AF67B0" w:rsidRPr="00AF67B0">
        <w:rPr>
          <w:rFonts w:ascii="Times New Roman" w:hAnsi="Times New Roman" w:cs="Times New Roman"/>
          <w:color w:val="000000"/>
        </w:rPr>
        <w:t xml:space="preserve">s) servidor(es) solicitante(s) </w:t>
      </w:r>
      <w:r w:rsidR="00AF67B0">
        <w:rPr>
          <w:rFonts w:ascii="Times New Roman" w:hAnsi="Times New Roman" w:cs="Times New Roman"/>
          <w:color w:val="000000"/>
        </w:rPr>
        <w:t>demonstrem</w:t>
      </w:r>
      <w:r w:rsidR="00AF67B0" w:rsidRPr="00AF67B0">
        <w:rPr>
          <w:rFonts w:ascii="Times New Roman" w:hAnsi="Times New Roman" w:cs="Times New Roman"/>
          <w:color w:val="000000"/>
        </w:rPr>
        <w:t xml:space="preserve"> nos autos que o evento de capacitação não está contemplado nas programações internas previstas no Plano de Capacitação do IF Sertão-PE vigente à época do requerimento</w:t>
      </w:r>
      <w:r w:rsidR="00AF67B0">
        <w:rPr>
          <w:rFonts w:ascii="Times New Roman" w:hAnsi="Times New Roman" w:cs="Times New Roman"/>
          <w:color w:val="000000"/>
        </w:rPr>
        <w:t>;</w:t>
      </w:r>
    </w:p>
    <w:p w:rsidR="00AF67B0" w:rsidRDefault="00BD4D11">
      <w:pPr>
        <w:pStyle w:val="western"/>
        <w:spacing w:before="0"/>
        <w:ind w:left="2268"/>
        <w:textAlignment w:val="auto"/>
        <w:rPr>
          <w:rFonts w:ascii="Times New Roman" w:hAnsi="Times New Roman" w:cs="Times New Roman"/>
          <w:color w:val="000000"/>
        </w:rPr>
      </w:pPr>
      <w:r>
        <w:rPr>
          <w:rFonts w:ascii="Times New Roman" w:hAnsi="Times New Roman" w:cs="Times New Roman"/>
          <w:color w:val="000000"/>
        </w:rPr>
        <w:t xml:space="preserve">c) </w:t>
      </w:r>
      <w:r w:rsidR="00AF67B0" w:rsidRPr="00AF67B0">
        <w:rPr>
          <w:rFonts w:ascii="Times New Roman" w:hAnsi="Times New Roman" w:cs="Times New Roman"/>
          <w:lang w:eastAsia="pt-BR"/>
        </w:rPr>
        <w:t>que a Administração envide esforços no sentido</w:t>
      </w:r>
      <w:r w:rsidR="00AF67B0" w:rsidRPr="00AF67B0">
        <w:rPr>
          <w:rFonts w:ascii="Times New Roman" w:hAnsi="Times New Roman" w:cs="Times New Roman"/>
        </w:rPr>
        <w:t xml:space="preserve"> de justificar o preço da contratação pretendida mediante a comparação da proposta apresentada quanto ao objeto a ser contratado com preços praticados pela futura contratada junto a outros órgãos públicos ou pessoas privadas, no que tange ao mesmo objeto e, preferencialmente, no mesmo exercício financeiro. No caso de impossibilidade, deverá a Administração demonstrar tal fato, por meio de justificativa</w:t>
      </w:r>
      <w:r w:rsidR="00AF67B0">
        <w:rPr>
          <w:rFonts w:ascii="Times New Roman" w:hAnsi="Times New Roman" w:cs="Times New Roman"/>
        </w:rPr>
        <w:t>;</w:t>
      </w:r>
    </w:p>
    <w:p w:rsidR="000B2BFD" w:rsidRDefault="00AF67B0">
      <w:pPr>
        <w:pStyle w:val="western"/>
        <w:spacing w:before="0"/>
        <w:ind w:left="2268"/>
        <w:textAlignment w:val="auto"/>
        <w:rPr>
          <w:rFonts w:ascii="Times New Roman" w:hAnsi="Times New Roman" w:cs="Times New Roman"/>
        </w:rPr>
      </w:pPr>
      <w:r>
        <w:rPr>
          <w:rFonts w:ascii="Times New Roman" w:hAnsi="Times New Roman" w:cs="Times New Roman"/>
          <w:color w:val="000000"/>
        </w:rPr>
        <w:t xml:space="preserve">d) </w:t>
      </w:r>
      <w:r w:rsidR="0096400F">
        <w:rPr>
          <w:rFonts w:ascii="Times New Roman" w:hAnsi="Times New Roman" w:cs="Times New Roman"/>
          <w:color w:val="000000"/>
        </w:rPr>
        <w:t>Que os documentos de regularidade da futura contratada</w:t>
      </w:r>
      <w:r w:rsidR="0096400F">
        <w:rPr>
          <w:rFonts w:ascii="Times New Roman" w:hAnsi="Times New Roman" w:cs="Times New Roman"/>
        </w:rPr>
        <w:t xml:space="preserve"> estejam válidos </w:t>
      </w:r>
      <w:r w:rsidR="0096400F" w:rsidRPr="0096400F">
        <w:rPr>
          <w:rFonts w:ascii="Times New Roman" w:hAnsi="Times New Roman" w:cs="Times New Roman"/>
        </w:rPr>
        <w:t>no momento da contratação</w:t>
      </w:r>
      <w:r w:rsidR="00B869B5">
        <w:rPr>
          <w:rFonts w:ascii="Times New Roman" w:hAnsi="Times New Roman" w:cs="Times New Roman"/>
        </w:rPr>
        <w:t xml:space="preserve">, </w:t>
      </w:r>
      <w:r w:rsidR="00C10327" w:rsidRPr="00C10327">
        <w:rPr>
          <w:rFonts w:ascii="Times New Roman" w:hAnsi="Times New Roman" w:cs="Times New Roman"/>
        </w:rPr>
        <w:t>a exemplo da Regularidade Fiscal</w:t>
      </w:r>
      <w:r>
        <w:rPr>
          <w:rFonts w:ascii="Times New Roman" w:hAnsi="Times New Roman" w:cs="Times New Roman"/>
        </w:rPr>
        <w:t xml:space="preserve"> Federal relacionada ao FGTS e</w:t>
      </w:r>
      <w:r w:rsidR="00C10327" w:rsidRPr="00C10327">
        <w:rPr>
          <w:rFonts w:ascii="Times New Roman" w:hAnsi="Times New Roman" w:cs="Times New Roman"/>
        </w:rPr>
        <w:t xml:space="preserve"> </w:t>
      </w:r>
      <w:r>
        <w:rPr>
          <w:rFonts w:ascii="Times New Roman" w:hAnsi="Times New Roman" w:cs="Times New Roman"/>
        </w:rPr>
        <w:t xml:space="preserve">a </w:t>
      </w:r>
      <w:r w:rsidR="00C10327" w:rsidRPr="00C10327">
        <w:rPr>
          <w:rFonts w:ascii="Times New Roman" w:hAnsi="Times New Roman" w:cs="Times New Roman"/>
        </w:rPr>
        <w:t>referente à Receita Municipal, que já se encontra</w:t>
      </w:r>
      <w:r>
        <w:rPr>
          <w:rFonts w:ascii="Times New Roman" w:hAnsi="Times New Roman" w:cs="Times New Roman"/>
        </w:rPr>
        <w:t>m</w:t>
      </w:r>
      <w:r w:rsidR="00C10327" w:rsidRPr="00C10327">
        <w:rPr>
          <w:rFonts w:ascii="Times New Roman" w:hAnsi="Times New Roman" w:cs="Times New Roman"/>
        </w:rPr>
        <w:t xml:space="preserve"> com </w:t>
      </w:r>
      <w:r w:rsidRPr="00C10327">
        <w:rPr>
          <w:rFonts w:ascii="Times New Roman" w:hAnsi="Times New Roman" w:cs="Times New Roman"/>
        </w:rPr>
        <w:t>o</w:t>
      </w:r>
      <w:r>
        <w:rPr>
          <w:rFonts w:ascii="Times New Roman" w:hAnsi="Times New Roman" w:cs="Times New Roman"/>
        </w:rPr>
        <w:t>s</w:t>
      </w:r>
      <w:r w:rsidRPr="00C10327">
        <w:rPr>
          <w:rFonts w:ascii="Times New Roman" w:hAnsi="Times New Roman" w:cs="Times New Roman"/>
        </w:rPr>
        <w:t xml:space="preserve"> prazo</w:t>
      </w:r>
      <w:r>
        <w:rPr>
          <w:rFonts w:ascii="Times New Roman" w:hAnsi="Times New Roman" w:cs="Times New Roman"/>
        </w:rPr>
        <w:t>s</w:t>
      </w:r>
      <w:r w:rsidRPr="00C10327">
        <w:rPr>
          <w:rFonts w:ascii="Times New Roman" w:hAnsi="Times New Roman" w:cs="Times New Roman"/>
        </w:rPr>
        <w:t xml:space="preserve"> de validade expirados</w:t>
      </w:r>
      <w:r w:rsidR="0096400F">
        <w:rPr>
          <w:rFonts w:ascii="Times New Roman" w:hAnsi="Times New Roman" w:cs="Times New Roman"/>
        </w:rPr>
        <w:t>;</w:t>
      </w:r>
    </w:p>
    <w:p w:rsidR="004E3813" w:rsidRDefault="00AF67B0">
      <w:pPr>
        <w:pStyle w:val="western"/>
        <w:spacing w:before="0"/>
        <w:ind w:left="2268"/>
        <w:textAlignment w:val="auto"/>
        <w:rPr>
          <w:rFonts w:ascii="Times New Roman" w:hAnsi="Times New Roman" w:cs="Times New Roman"/>
          <w:color w:val="000000"/>
          <w:lang w:eastAsia="pt-BR"/>
        </w:rPr>
      </w:pPr>
      <w:r>
        <w:rPr>
          <w:rFonts w:ascii="Times New Roman" w:hAnsi="Times New Roman" w:cs="Times New Roman"/>
        </w:rPr>
        <w:lastRenderedPageBreak/>
        <w:t>e</w:t>
      </w:r>
      <w:r w:rsidR="00B869B5">
        <w:rPr>
          <w:rFonts w:ascii="Times New Roman" w:hAnsi="Times New Roman" w:cs="Times New Roman"/>
        </w:rPr>
        <w:t xml:space="preserve">) </w:t>
      </w:r>
      <w:r w:rsidR="000726F0">
        <w:rPr>
          <w:rFonts w:ascii="Times New Roman" w:hAnsi="Times New Roman" w:cs="Times New Roman"/>
          <w:color w:val="000000"/>
        </w:rPr>
        <w:t>Q</w:t>
      </w:r>
      <w:r w:rsidR="00C73FAC">
        <w:rPr>
          <w:rFonts w:ascii="Times New Roman" w:hAnsi="Times New Roman" w:cs="Times New Roman"/>
          <w:color w:val="000000"/>
          <w:highlight w:val="white"/>
          <w:lang w:eastAsia="pt-BR"/>
        </w:rPr>
        <w:t xml:space="preserve">ue </w:t>
      </w:r>
      <w:r w:rsidR="000726F0">
        <w:rPr>
          <w:rFonts w:ascii="Times New Roman" w:hAnsi="Times New Roman" w:cs="Times New Roman"/>
          <w:color w:val="000000"/>
          <w:highlight w:val="white"/>
          <w:lang w:eastAsia="pt-BR"/>
        </w:rPr>
        <w:t>seja acostada</w:t>
      </w:r>
      <w:r w:rsidR="00C73FAC">
        <w:rPr>
          <w:rFonts w:ascii="Times New Roman" w:hAnsi="Times New Roman" w:cs="Times New Roman"/>
          <w:color w:val="000000"/>
          <w:highlight w:val="white"/>
          <w:lang w:eastAsia="pt-BR"/>
        </w:rPr>
        <w:t xml:space="preserve"> aos autos </w:t>
      </w:r>
      <w:r w:rsidR="000726F0">
        <w:rPr>
          <w:rFonts w:ascii="Times New Roman" w:hAnsi="Times New Roman" w:cs="Times New Roman"/>
          <w:lang w:eastAsia="pt-BR"/>
        </w:rPr>
        <w:t xml:space="preserve">a </w:t>
      </w:r>
      <w:r w:rsidR="00C73FAC">
        <w:rPr>
          <w:rFonts w:ascii="Times New Roman" w:hAnsi="Times New Roman" w:cs="Times New Roman"/>
          <w:color w:val="000000"/>
          <w:highlight w:val="white"/>
          <w:lang w:eastAsia="pt-BR"/>
        </w:rPr>
        <w:t>declaração de cumprimento aos termos da Lei 9.854/99, que consistente em não admitir trabalho noturno, perigoso ou insalubre a menores de dezoito e de qualquer trabalho a</w:t>
      </w:r>
      <w:r w:rsidR="00C73FAC">
        <w:rPr>
          <w:rFonts w:ascii="Times New Roman" w:hAnsi="Times New Roman" w:cs="Times New Roman"/>
          <w:b/>
          <w:color w:val="000000"/>
          <w:highlight w:val="white"/>
          <w:u w:val="single"/>
          <w:lang w:eastAsia="pt-BR"/>
        </w:rPr>
        <w:t xml:space="preserve"> </w:t>
      </w:r>
      <w:r w:rsidR="00C73FAC">
        <w:rPr>
          <w:rFonts w:ascii="Times New Roman" w:hAnsi="Times New Roman" w:cs="Times New Roman"/>
          <w:color w:val="000000"/>
          <w:highlight w:val="white"/>
          <w:lang w:eastAsia="pt-BR"/>
        </w:rPr>
        <w:t>menores de dezesseis anos, salvo na condição de aprendiz, a partir de quatorze anos, na forma do art. 7º, XXXIII, da CF/88</w:t>
      </w:r>
      <w:r w:rsidR="00770029">
        <w:rPr>
          <w:rFonts w:ascii="Times New Roman" w:hAnsi="Times New Roman" w:cs="Times New Roman"/>
          <w:color w:val="000000"/>
          <w:lang w:eastAsia="pt-BR"/>
        </w:rPr>
        <w:t>;</w:t>
      </w:r>
    </w:p>
    <w:p w:rsidR="00770029" w:rsidRPr="00B5314A" w:rsidRDefault="00AF67B0">
      <w:pPr>
        <w:pStyle w:val="western"/>
        <w:spacing w:before="0"/>
        <w:ind w:left="2268"/>
        <w:textAlignment w:val="auto"/>
        <w:rPr>
          <w:rFonts w:ascii="Times New Roman" w:hAnsi="Times New Roman" w:cs="Times New Roman"/>
          <w:color w:val="000000"/>
          <w:lang w:eastAsia="pt-BR"/>
        </w:rPr>
      </w:pPr>
      <w:r>
        <w:rPr>
          <w:rFonts w:ascii="Times New Roman" w:hAnsi="Times New Roman" w:cs="Times New Roman"/>
          <w:color w:val="000000"/>
          <w:lang w:eastAsia="pt-BR"/>
        </w:rPr>
        <w:t>f</w:t>
      </w:r>
      <w:r w:rsidR="00770029">
        <w:rPr>
          <w:rFonts w:ascii="Times New Roman" w:hAnsi="Times New Roman" w:cs="Times New Roman"/>
          <w:color w:val="000000"/>
          <w:lang w:eastAsia="pt-BR"/>
        </w:rPr>
        <w:t>) Que o ato</w:t>
      </w:r>
      <w:r w:rsidR="00770029" w:rsidRPr="00770029">
        <w:rPr>
          <w:rFonts w:ascii="Times New Roman" w:hAnsi="Times New Roman" w:cs="Times New Roman"/>
          <w:color w:val="000000"/>
          <w:lang w:eastAsia="pt-BR"/>
        </w:rPr>
        <w:t xml:space="preserve"> </w:t>
      </w:r>
      <w:r w:rsidR="00770029" w:rsidRPr="00770029">
        <w:rPr>
          <w:rFonts w:ascii="Times New Roman" w:hAnsi="Times New Roman" w:cs="Times New Roman"/>
        </w:rPr>
        <w:t>administrativo de autorização da contratação direta</w:t>
      </w:r>
      <w:r w:rsidR="00770029">
        <w:rPr>
          <w:rFonts w:ascii="Times New Roman" w:hAnsi="Times New Roman" w:cs="Times New Roman"/>
        </w:rPr>
        <w:t xml:space="preserve"> seja publicado </w:t>
      </w:r>
      <w:r w:rsidR="00770029" w:rsidRPr="00770029">
        <w:rPr>
          <w:rFonts w:ascii="Times New Roman" w:hAnsi="Times New Roman" w:cs="Times New Roman"/>
        </w:rPr>
        <w:t>na imprensa oficial</w:t>
      </w:r>
      <w:r w:rsidR="00770029">
        <w:rPr>
          <w:rFonts w:ascii="Times New Roman" w:hAnsi="Times New Roman" w:cs="Times New Roman"/>
        </w:rPr>
        <w:t>.</w:t>
      </w:r>
    </w:p>
    <w:p w:rsidR="00DF4F4F" w:rsidRDefault="00DF4F4F">
      <w:pPr>
        <w:pStyle w:val="western"/>
        <w:overflowPunct w:val="0"/>
        <w:spacing w:before="0"/>
        <w:ind w:left="2268"/>
        <w:textAlignment w:val="auto"/>
        <w:rPr>
          <w:rFonts w:ascii="Times New Roman" w:hAnsi="Times New Roman" w:cs="Times New Roman"/>
          <w:color w:val="000000"/>
        </w:rPr>
      </w:pPr>
    </w:p>
    <w:p w:rsidR="00034799" w:rsidRPr="00034799" w:rsidRDefault="009B7DEF" w:rsidP="00034799">
      <w:pPr>
        <w:spacing w:line="360" w:lineRule="auto"/>
        <w:jc w:val="both"/>
        <w:rPr>
          <w:szCs w:val="24"/>
        </w:rPr>
      </w:pPr>
      <w:r w:rsidRPr="00034799">
        <w:rPr>
          <w:color w:val="000000"/>
          <w:szCs w:val="24"/>
        </w:rPr>
        <w:t>5</w:t>
      </w:r>
      <w:r w:rsidR="00197086">
        <w:rPr>
          <w:color w:val="000000"/>
          <w:szCs w:val="24"/>
        </w:rPr>
        <w:t>7</w:t>
      </w:r>
      <w:r w:rsidR="00C73FAC" w:rsidRPr="00034799">
        <w:rPr>
          <w:color w:val="000000"/>
          <w:szCs w:val="24"/>
        </w:rPr>
        <w:t>.</w:t>
      </w:r>
      <w:r w:rsidR="00C73FAC" w:rsidRPr="00034799">
        <w:rPr>
          <w:color w:val="000000"/>
          <w:szCs w:val="24"/>
        </w:rPr>
        <w:tab/>
      </w:r>
      <w:r w:rsidR="00034799" w:rsidRPr="00034799">
        <w:rPr>
          <w:szCs w:val="24"/>
        </w:rPr>
        <w:t>Igualmente, cumpre frisar que a presente manifestação almeja analisar o procedimento administrativo em epígrafe nos termos do art. 11, inciso VI, da Lei Complementar nº 73/93, c/c, art. 10, § 1º, da Lei nº 10.480/2002, e art. 38, parágrafo único, da Lei nº 8.666/93, subtraindo-se análises que importem considerações de ordem técnica, financeira ou orçamentária, considerando a delimitação legal de competência institucional da PF/</w:t>
      </w:r>
      <w:r w:rsidR="004D7CCA">
        <w:rPr>
          <w:szCs w:val="24"/>
        </w:rPr>
        <w:t>IF SERTÃO-PE</w:t>
      </w:r>
      <w:r w:rsidR="00034799" w:rsidRPr="00034799">
        <w:rPr>
          <w:szCs w:val="24"/>
        </w:rPr>
        <w:t>.</w:t>
      </w:r>
    </w:p>
    <w:p w:rsidR="00034799" w:rsidRDefault="00034799" w:rsidP="00034799">
      <w:pPr>
        <w:spacing w:line="360" w:lineRule="auto"/>
        <w:jc w:val="both"/>
        <w:rPr>
          <w:rFonts w:ascii="Spranq eco sans" w:hAnsi="Spranq eco sans" w:cs="Tahoma"/>
          <w:sz w:val="20"/>
        </w:rPr>
      </w:pPr>
    </w:p>
    <w:p w:rsidR="00034799" w:rsidRPr="00034799" w:rsidRDefault="00197086" w:rsidP="00034799">
      <w:pPr>
        <w:pStyle w:val="western"/>
        <w:spacing w:before="0"/>
        <w:rPr>
          <w:rFonts w:ascii="Times New Roman" w:hAnsi="Times New Roman" w:cs="Times New Roman"/>
          <w:color w:val="000000"/>
        </w:rPr>
      </w:pPr>
      <w:r>
        <w:rPr>
          <w:rFonts w:ascii="Times New Roman" w:hAnsi="Times New Roman" w:cs="Times New Roman"/>
        </w:rPr>
        <w:t>58</w:t>
      </w:r>
      <w:r w:rsidR="00034799" w:rsidRPr="00034799">
        <w:rPr>
          <w:rFonts w:ascii="Times New Roman" w:hAnsi="Times New Roman" w:cs="Times New Roman"/>
        </w:rPr>
        <w:t>.</w:t>
      </w:r>
      <w:r w:rsidR="00034799" w:rsidRPr="00034799">
        <w:rPr>
          <w:rFonts w:ascii="Times New Roman" w:hAnsi="Times New Roman" w:cs="Times New Roman"/>
        </w:rPr>
        <w:tab/>
      </w:r>
      <w:r w:rsidR="00034799" w:rsidRPr="00034799">
        <w:rPr>
          <w:rFonts w:ascii="Times New Roman" w:hAnsi="Times New Roman" w:cs="Times New Roman"/>
          <w:b/>
        </w:rPr>
        <w:t xml:space="preserve">Por oportuno, ressalta-se que este parecer referencial </w:t>
      </w:r>
      <w:r w:rsidR="00034799" w:rsidRPr="00034799">
        <w:rPr>
          <w:rFonts w:ascii="Times New Roman" w:hAnsi="Times New Roman" w:cs="Times New Roman"/>
          <w:b/>
          <w:u w:val="single"/>
        </w:rPr>
        <w:t>não</w:t>
      </w:r>
      <w:r w:rsidR="00034799" w:rsidRPr="00034799">
        <w:rPr>
          <w:rFonts w:ascii="Times New Roman" w:hAnsi="Times New Roman" w:cs="Times New Roman"/>
          <w:b/>
        </w:rPr>
        <w:t xml:space="preserve"> é aplicável quando for caso de se firmar termo de execução descentralizada (v.g. com a ESAF).</w:t>
      </w:r>
    </w:p>
    <w:p w:rsidR="00034799" w:rsidRDefault="00034799">
      <w:pPr>
        <w:pStyle w:val="western"/>
        <w:spacing w:before="0"/>
        <w:rPr>
          <w:rFonts w:ascii="Times New Roman" w:hAnsi="Times New Roman" w:cs="Times New Roman"/>
          <w:color w:val="000000"/>
        </w:rPr>
      </w:pPr>
    </w:p>
    <w:p w:rsidR="00034799" w:rsidRPr="00034799" w:rsidRDefault="00197086">
      <w:pPr>
        <w:pStyle w:val="western"/>
        <w:spacing w:before="0"/>
        <w:rPr>
          <w:rFonts w:ascii="Times New Roman" w:hAnsi="Times New Roman" w:cs="Times New Roman"/>
          <w:color w:val="000000"/>
        </w:rPr>
      </w:pPr>
      <w:r>
        <w:rPr>
          <w:rFonts w:ascii="Times New Roman" w:hAnsi="Times New Roman" w:cs="Times New Roman"/>
          <w:color w:val="000000"/>
        </w:rPr>
        <w:t>59</w:t>
      </w:r>
      <w:r w:rsidR="00034799" w:rsidRPr="00034799">
        <w:rPr>
          <w:rFonts w:ascii="Times New Roman" w:hAnsi="Times New Roman" w:cs="Times New Roman"/>
          <w:color w:val="000000"/>
        </w:rPr>
        <w:t>.</w:t>
      </w:r>
      <w:r w:rsidR="00034799" w:rsidRPr="00034799">
        <w:rPr>
          <w:rFonts w:ascii="Times New Roman" w:hAnsi="Times New Roman" w:cs="Times New Roman"/>
          <w:color w:val="000000"/>
        </w:rPr>
        <w:tab/>
      </w:r>
      <w:r w:rsidR="00034799">
        <w:rPr>
          <w:rFonts w:ascii="Times New Roman" w:hAnsi="Times New Roman" w:cs="Times New Roman"/>
        </w:rPr>
        <w:t>Observa-se que</w:t>
      </w:r>
      <w:r w:rsidR="00034799" w:rsidRPr="00034799">
        <w:rPr>
          <w:rFonts w:ascii="Times New Roman" w:hAnsi="Times New Roman" w:cs="Times New Roman"/>
        </w:rPr>
        <w:t xml:space="preserve"> </w:t>
      </w:r>
      <w:r w:rsidR="00034799">
        <w:rPr>
          <w:rFonts w:ascii="Times New Roman" w:hAnsi="Times New Roman" w:cs="Times New Roman"/>
        </w:rPr>
        <w:t>posteriormente ao encaminhamento deste Parecer Referencial para o setor interessado, deverão ser</w:t>
      </w:r>
      <w:r w:rsidR="00034799" w:rsidRPr="00034799">
        <w:rPr>
          <w:rFonts w:ascii="Times New Roman" w:hAnsi="Times New Roman" w:cs="Times New Roman"/>
        </w:rPr>
        <w:t xml:space="preserve"> tomadas as providências previstas no art. 4º da Portaria</w:t>
      </w:r>
      <w:r w:rsidR="00034799">
        <w:rPr>
          <w:rFonts w:ascii="Times New Roman" w:hAnsi="Times New Roman" w:cs="Times New Roman"/>
        </w:rPr>
        <w:t xml:space="preserve"> </w:t>
      </w:r>
      <w:r w:rsidR="00034799" w:rsidRPr="00034799">
        <w:rPr>
          <w:rFonts w:ascii="Times New Roman" w:hAnsi="Times New Roman" w:cs="Times New Roman"/>
        </w:rPr>
        <w:t>PGF/AGU nº 262/2017, em tais termos: “as manifestações jurídicas referenciais aprovadas pelo chefe do órgão de execução da PGF deverão ser: I - disponibilizadas na página do órgão de execução da PGF no sí</w:t>
      </w:r>
      <w:r w:rsidR="00034799" w:rsidRPr="00034799">
        <w:rPr>
          <w:rFonts w:ascii="Times New Roman" w:eastAsia="Malgun Gothic" w:hAnsi="Times New Roman" w:cs="Times New Roman"/>
        </w:rPr>
        <w:t>ti</w:t>
      </w:r>
      <w:r w:rsidR="00034799" w:rsidRPr="00034799">
        <w:rPr>
          <w:rFonts w:ascii="Times New Roman" w:hAnsi="Times New Roman" w:cs="Times New Roman"/>
        </w:rPr>
        <w:t>o eletrônico da Advocacia-Geral da União; e II - encaminhadas à autoridade assessorada para que possa u</w:t>
      </w:r>
      <w:r w:rsidR="00034799" w:rsidRPr="00034799">
        <w:rPr>
          <w:rFonts w:ascii="Times New Roman" w:eastAsia="Malgun Gothic" w:hAnsi="Times New Roman" w:cs="Times New Roman"/>
        </w:rPr>
        <w:t>ti</w:t>
      </w:r>
      <w:r w:rsidR="00034799" w:rsidRPr="00034799">
        <w:rPr>
          <w:rFonts w:ascii="Times New Roman" w:hAnsi="Times New Roman" w:cs="Times New Roman"/>
        </w:rPr>
        <w:t>lizá-las nos termos do § 2º do art. 3º desta Portaria”.</w:t>
      </w:r>
    </w:p>
    <w:p w:rsidR="00034799" w:rsidRDefault="00034799">
      <w:pPr>
        <w:pStyle w:val="western"/>
        <w:spacing w:before="0"/>
        <w:rPr>
          <w:rFonts w:ascii="Times New Roman" w:hAnsi="Times New Roman" w:cs="Times New Roman"/>
          <w:color w:val="000000"/>
        </w:rPr>
      </w:pPr>
    </w:p>
    <w:p w:rsidR="00DF4F4F" w:rsidRDefault="00197086">
      <w:pPr>
        <w:pStyle w:val="western"/>
        <w:spacing w:before="0"/>
        <w:rPr>
          <w:rFonts w:ascii="Times New Roman" w:hAnsi="Times New Roman" w:cs="Times New Roman"/>
        </w:rPr>
      </w:pPr>
      <w:r>
        <w:rPr>
          <w:rFonts w:ascii="Times New Roman" w:hAnsi="Times New Roman" w:cs="Times New Roman"/>
          <w:color w:val="000000"/>
        </w:rPr>
        <w:t>60</w:t>
      </w:r>
      <w:r w:rsidR="00034799">
        <w:rPr>
          <w:rFonts w:ascii="Times New Roman" w:hAnsi="Times New Roman" w:cs="Times New Roman"/>
          <w:color w:val="000000"/>
        </w:rPr>
        <w:t>.</w:t>
      </w:r>
      <w:r w:rsidR="00034799">
        <w:rPr>
          <w:rFonts w:ascii="Times New Roman" w:hAnsi="Times New Roman" w:cs="Times New Roman"/>
          <w:color w:val="000000"/>
        </w:rPr>
        <w:tab/>
      </w:r>
      <w:r w:rsidR="00C73FAC">
        <w:rPr>
          <w:rFonts w:ascii="Times New Roman" w:hAnsi="Times New Roman" w:cs="Times New Roman"/>
        </w:rPr>
        <w:t xml:space="preserve">Face ao exposto, este é o parecer que submetemos ao crivo de Vossa </w:t>
      </w:r>
      <w:r w:rsidR="00934B0B">
        <w:rPr>
          <w:rFonts w:ascii="Times New Roman" w:hAnsi="Times New Roman" w:cs="Times New Roman"/>
        </w:rPr>
        <w:t>Senhoria</w:t>
      </w:r>
      <w:r w:rsidR="00C73FAC">
        <w:rPr>
          <w:rFonts w:ascii="Times New Roman" w:hAnsi="Times New Roman" w:cs="Times New Roman"/>
        </w:rPr>
        <w:t>.</w:t>
      </w:r>
    </w:p>
    <w:p w:rsidR="00DF4F4F" w:rsidRDefault="00DF4F4F">
      <w:pPr>
        <w:pStyle w:val="western"/>
        <w:keepNext/>
        <w:spacing w:before="0"/>
        <w:ind w:left="2268"/>
        <w:rPr>
          <w:rFonts w:ascii="Times New Roman" w:hAnsi="Times New Roman" w:cs="Times New Roman"/>
        </w:rPr>
      </w:pPr>
    </w:p>
    <w:p w:rsidR="00DF4F4F" w:rsidRDefault="00C73FAC">
      <w:pPr>
        <w:pStyle w:val="western"/>
        <w:keepNext/>
        <w:spacing w:before="0"/>
        <w:ind w:firstLine="708"/>
      </w:pPr>
      <w:r>
        <w:rPr>
          <w:rFonts w:ascii="Times New Roman" w:hAnsi="Times New Roman" w:cs="Times New Roman"/>
        </w:rPr>
        <w:t>Petrolina,</w:t>
      </w:r>
      <w:r>
        <w:rPr>
          <w:rFonts w:ascii="Times New Roman" w:eastAsia="Times New Roman" w:hAnsi="Times New Roman" w:cs="Times New Roman"/>
        </w:rPr>
        <w:t xml:space="preserve"> </w:t>
      </w:r>
      <w:r w:rsidR="009B7DEF">
        <w:rPr>
          <w:rFonts w:ascii="Times New Roman" w:eastAsia="Times New Roman" w:hAnsi="Times New Roman" w:cs="Times New Roman"/>
        </w:rPr>
        <w:t>1</w:t>
      </w:r>
      <w:r w:rsidR="004D7CCA">
        <w:rPr>
          <w:rFonts w:ascii="Times New Roman" w:eastAsia="Times New Roman" w:hAnsi="Times New Roman" w:cs="Times New Roman"/>
        </w:rPr>
        <w:t>8</w:t>
      </w:r>
      <w:r w:rsidR="00060B3D">
        <w:rPr>
          <w:rFonts w:ascii="Times New Roman" w:eastAsia="Times New Roman" w:hAnsi="Times New Roman" w:cs="Times New Roman"/>
        </w:rPr>
        <w:t xml:space="preserve"> de ju</w:t>
      </w:r>
      <w:r w:rsidR="009B7DEF">
        <w:rPr>
          <w:rFonts w:ascii="Times New Roman" w:eastAsia="Times New Roman" w:hAnsi="Times New Roman" w:cs="Times New Roman"/>
        </w:rPr>
        <w:t>l</w:t>
      </w:r>
      <w:r w:rsidR="00060B3D">
        <w:rPr>
          <w:rFonts w:ascii="Times New Roman" w:eastAsia="Times New Roman" w:hAnsi="Times New Roman" w:cs="Times New Roman"/>
        </w:rPr>
        <w:t>ho</w:t>
      </w:r>
      <w:r w:rsidR="00934B0B">
        <w:rPr>
          <w:rFonts w:ascii="Times New Roman" w:eastAsia="Times New Roman" w:hAnsi="Times New Roman" w:cs="Times New Roman"/>
        </w:rPr>
        <w:t xml:space="preserve"> </w:t>
      </w:r>
      <w:r w:rsidR="00715227">
        <w:rPr>
          <w:rFonts w:ascii="Times New Roman" w:eastAsia="Times New Roman" w:hAnsi="Times New Roman" w:cs="Times New Roman"/>
        </w:rPr>
        <w:t>de 2017</w:t>
      </w:r>
      <w:r>
        <w:rPr>
          <w:rFonts w:ascii="Times New Roman" w:hAnsi="Times New Roman" w:cs="Times New Roman"/>
        </w:rPr>
        <w:t>.</w:t>
      </w:r>
    </w:p>
    <w:p w:rsidR="009B7DEF" w:rsidRDefault="009B7DEF">
      <w:pPr>
        <w:spacing w:line="360" w:lineRule="auto"/>
        <w:jc w:val="center"/>
        <w:rPr>
          <w:b/>
          <w:szCs w:val="24"/>
        </w:rPr>
      </w:pPr>
    </w:p>
    <w:p w:rsidR="00DF4F4F" w:rsidRDefault="00C73FAC">
      <w:pPr>
        <w:spacing w:line="360" w:lineRule="auto"/>
        <w:jc w:val="center"/>
        <w:rPr>
          <w:b/>
          <w:szCs w:val="24"/>
        </w:rPr>
      </w:pPr>
      <w:r>
        <w:rPr>
          <w:b/>
          <w:szCs w:val="24"/>
        </w:rPr>
        <w:t>Lectícia Marília Cabral de Alcântara</w:t>
      </w:r>
    </w:p>
    <w:p w:rsidR="00DF4F4F" w:rsidRDefault="00C73FAC">
      <w:pPr>
        <w:spacing w:line="360" w:lineRule="auto"/>
        <w:jc w:val="center"/>
      </w:pPr>
      <w:r>
        <w:rPr>
          <w:szCs w:val="24"/>
        </w:rPr>
        <w:t>Procuradora Federal</w:t>
      </w:r>
    </w:p>
    <w:sectPr w:rsidR="00DF4F4F" w:rsidSect="00DF4F4F">
      <w:headerReference w:type="default" r:id="rId9"/>
      <w:footerReference w:type="default" r:id="rId10"/>
      <w:headerReference w:type="first" r:id="rId11"/>
      <w:footerReference w:type="first" r:id="rId12"/>
      <w:pgSz w:w="11906" w:h="16838"/>
      <w:pgMar w:top="908" w:right="851" w:bottom="851" w:left="1701" w:header="851" w:footer="578" w:gutter="0"/>
      <w:cols w:space="720"/>
      <w:formProt w:val="0"/>
      <w:titlePg/>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52CE" w:rsidRDefault="006552CE" w:rsidP="00DF4F4F">
      <w:r>
        <w:separator/>
      </w:r>
    </w:p>
  </w:endnote>
  <w:endnote w:type="continuationSeparator" w:id="1">
    <w:p w:rsidR="006552CE" w:rsidRDefault="006552CE" w:rsidP="00DF4F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MyriadPro-Regular">
    <w:panose1 w:val="00000000000000000000"/>
    <w:charset w:val="00"/>
    <w:family w:val="roman"/>
    <w:notTrueType/>
    <w:pitch w:val="default"/>
    <w:sig w:usb0="00000000" w:usb1="00000000" w:usb2="00000000" w:usb3="00000000" w:csb0="00000000" w:csb1="00000000"/>
  </w:font>
  <w:font w:name="Spranq eco sans">
    <w:altName w:val="Malgun Gothic"/>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CE" w:rsidRDefault="005A051E">
    <w:pPr>
      <w:pStyle w:val="Rodap"/>
      <w:jc w:val="right"/>
    </w:pPr>
    <w:fldSimple w:instr="PAGE">
      <w:r w:rsidR="00A26BF1">
        <w:rPr>
          <w:noProof/>
        </w:rPr>
        <w:t>5</w:t>
      </w:r>
    </w:fldSimple>
  </w:p>
  <w:p w:rsidR="006552CE" w:rsidRDefault="006552CE">
    <w:pPr>
      <w:pStyle w:val="Rodap"/>
      <w:jc w:val="both"/>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CE" w:rsidRDefault="006552CE">
    <w:pPr>
      <w:pStyle w:val="Rodap"/>
      <w:rPr>
        <w:lang w:val="en-US" w:eastAsia="pt-BR"/>
      </w:rPr>
    </w:pPr>
    <w:r>
      <w:rPr>
        <w:noProof/>
        <w:lang w:eastAsia="pt-BR"/>
      </w:rPr>
      <w:drawing>
        <wp:anchor distT="0" distB="0" distL="133985" distR="118110" simplePos="0" relativeHeight="251655168" behindDoc="1" locked="0" layoutInCell="1" allowOverlap="1">
          <wp:simplePos x="0" y="0"/>
          <wp:positionH relativeFrom="margin">
            <wp:align>center</wp:align>
          </wp:positionH>
          <wp:positionV relativeFrom="margin">
            <wp:align>center</wp:align>
          </wp:positionV>
          <wp:extent cx="5254625" cy="3620135"/>
          <wp:effectExtent l="0" t="0" r="0" b="0"/>
          <wp:wrapNone/>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1"/>
                  <a:stretch>
                    <a:fillRect/>
                  </a:stretch>
                </pic:blipFill>
                <pic:spPr bwMode="auto">
                  <a:xfrm>
                    <a:off x="0" y="0"/>
                    <a:ext cx="5254625" cy="3620135"/>
                  </a:xfrm>
                  <a:prstGeom prst="rect">
                    <a:avLst/>
                  </a:prstGeom>
                </pic:spPr>
              </pic:pic>
            </a:graphicData>
          </a:graphic>
        </wp:anchor>
      </w:drawing>
    </w:r>
    <w:r>
      <w:rPr>
        <w:noProof/>
        <w:lang w:eastAsia="pt-BR"/>
      </w:rPr>
      <w:drawing>
        <wp:anchor distT="0" distB="0" distL="133985" distR="118110" simplePos="0" relativeHeight="251656192" behindDoc="1" locked="0" layoutInCell="1" allowOverlap="1">
          <wp:simplePos x="0" y="0"/>
          <wp:positionH relativeFrom="margin">
            <wp:align>center</wp:align>
          </wp:positionH>
          <wp:positionV relativeFrom="margin">
            <wp:align>center</wp:align>
          </wp:positionV>
          <wp:extent cx="5254625" cy="3620135"/>
          <wp:effectExtent l="0" t="0" r="0" b="0"/>
          <wp:wrapNone/>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noChangeArrowheads="1"/>
                  </pic:cNvPicPr>
                </pic:nvPicPr>
                <pic:blipFill>
                  <a:blip r:embed="rId1"/>
                  <a:stretch>
                    <a:fillRect/>
                  </a:stretch>
                </pic:blipFill>
                <pic:spPr bwMode="auto">
                  <a:xfrm>
                    <a:off x="0" y="0"/>
                    <a:ext cx="5254625" cy="3620135"/>
                  </a:xfrm>
                  <a:prstGeom prst="rect">
                    <a:avLst/>
                  </a:prstGeom>
                </pic:spPr>
              </pic:pic>
            </a:graphicData>
          </a:graphic>
        </wp:anchor>
      </w:drawing>
    </w:r>
    <w:r>
      <w:rPr>
        <w:noProof/>
        <w:lang w:eastAsia="pt-BR"/>
      </w:rPr>
      <w:drawing>
        <wp:anchor distT="0" distB="0" distL="133985" distR="118110" simplePos="0" relativeHeight="251657216" behindDoc="1" locked="0" layoutInCell="1" allowOverlap="1">
          <wp:simplePos x="0" y="0"/>
          <wp:positionH relativeFrom="margin">
            <wp:posOffset>222250</wp:posOffset>
          </wp:positionH>
          <wp:positionV relativeFrom="margin">
            <wp:posOffset>1844040</wp:posOffset>
          </wp:positionV>
          <wp:extent cx="5254625" cy="3620135"/>
          <wp:effectExtent l="0" t="0" r="0" b="0"/>
          <wp:wrapNone/>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noChangeArrowheads="1"/>
                  </pic:cNvPicPr>
                </pic:nvPicPr>
                <pic:blipFill>
                  <a:blip r:embed="rId1"/>
                  <a:stretch>
                    <a:fillRect/>
                  </a:stretch>
                </pic:blipFill>
                <pic:spPr bwMode="auto">
                  <a:xfrm>
                    <a:off x="0" y="0"/>
                    <a:ext cx="5254625" cy="3620135"/>
                  </a:xfrm>
                  <a:prstGeom prst="rect">
                    <a:avLst/>
                  </a:prstGeom>
                </pic:spPr>
              </pic:pic>
            </a:graphicData>
          </a:graphic>
        </wp:anchor>
      </w:drawing>
    </w:r>
    <w:r>
      <w:rPr>
        <w:noProof/>
        <w:lang w:eastAsia="pt-BR"/>
      </w:rPr>
      <w:drawing>
        <wp:anchor distT="0" distB="0" distL="133985" distR="118110" simplePos="0" relativeHeight="251658240" behindDoc="1" locked="0" layoutInCell="1" allowOverlap="1">
          <wp:simplePos x="0" y="0"/>
          <wp:positionH relativeFrom="margin">
            <wp:align>center</wp:align>
          </wp:positionH>
          <wp:positionV relativeFrom="margin">
            <wp:align>center</wp:align>
          </wp:positionV>
          <wp:extent cx="5254625" cy="3620135"/>
          <wp:effectExtent l="0" t="0" r="0" b="0"/>
          <wp:wrapNone/>
          <wp:docPr id="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pic:cNvPicPr>
                    <a:picLocks noChangeAspect="1" noChangeArrowheads="1"/>
                  </pic:cNvPicPr>
                </pic:nvPicPr>
                <pic:blipFill>
                  <a:blip r:embed="rId1"/>
                  <a:stretch>
                    <a:fillRect/>
                  </a:stretch>
                </pic:blipFill>
                <pic:spPr bwMode="auto">
                  <a:xfrm>
                    <a:off x="0" y="0"/>
                    <a:ext cx="5254625" cy="3620135"/>
                  </a:xfrm>
                  <a:prstGeom prst="rect">
                    <a:avLst/>
                  </a:prstGeom>
                </pic:spPr>
              </pic:pic>
            </a:graphicData>
          </a:graphic>
        </wp:anchor>
      </w:drawing>
    </w:r>
    <w:r>
      <w:rPr>
        <w:noProof/>
        <w:lang w:eastAsia="pt-BR"/>
      </w:rPr>
      <w:drawing>
        <wp:anchor distT="0" distB="0" distL="133985" distR="118110" simplePos="0" relativeHeight="251659264" behindDoc="1" locked="0" layoutInCell="1" allowOverlap="1">
          <wp:simplePos x="0" y="0"/>
          <wp:positionH relativeFrom="margin">
            <wp:posOffset>222250</wp:posOffset>
          </wp:positionH>
          <wp:positionV relativeFrom="margin">
            <wp:posOffset>1844040</wp:posOffset>
          </wp:positionV>
          <wp:extent cx="5254625" cy="3620135"/>
          <wp:effectExtent l="0" t="0" r="0" b="0"/>
          <wp:wrapNone/>
          <wp:docPr id="7"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pic:cNvPicPr>
                    <a:picLocks noChangeAspect="1" noChangeArrowheads="1"/>
                  </pic:cNvPicPr>
                </pic:nvPicPr>
                <pic:blipFill>
                  <a:blip r:embed="rId1"/>
                  <a:stretch>
                    <a:fillRect/>
                  </a:stretch>
                </pic:blipFill>
                <pic:spPr bwMode="auto">
                  <a:xfrm>
                    <a:off x="0" y="0"/>
                    <a:ext cx="5254625" cy="3620135"/>
                  </a:xfrm>
                  <a:prstGeom prst="rect">
                    <a:avLst/>
                  </a:prstGeom>
                </pic:spPr>
              </pic:pic>
            </a:graphicData>
          </a:graphic>
        </wp:anchor>
      </w:drawing>
    </w:r>
  </w:p>
  <w:p w:rsidR="006552CE" w:rsidRDefault="006552CE">
    <w:pPr>
      <w:pStyle w:val="Rodap"/>
      <w:jc w:val="center"/>
      <w:rPr>
        <w:sz w:val="16"/>
        <w:szCs w:val="16"/>
      </w:rPr>
    </w:pPr>
    <w:r>
      <w:rPr>
        <w:sz w:val="16"/>
        <w:szCs w:val="16"/>
      </w:rPr>
      <w:t>Rua Coronel Amorim, n. 76, centro, Petrolina/PE, CEP. 56302-320</w:t>
    </w:r>
  </w:p>
  <w:p w:rsidR="006552CE" w:rsidRDefault="006552CE">
    <w:pPr>
      <w:pStyle w:val="Rodap"/>
      <w:jc w:val="center"/>
      <w:rPr>
        <w:sz w:val="16"/>
        <w:szCs w:val="16"/>
      </w:rPr>
    </w:pPr>
    <w:r>
      <w:rPr>
        <w:sz w:val="16"/>
        <w:szCs w:val="16"/>
      </w:rPr>
      <w:t>Tel.: (87) 2101 2350 – pfifsertao.pe@agu.gov.br</w:t>
    </w:r>
  </w:p>
  <w:p w:rsidR="006552CE" w:rsidRDefault="006552CE">
    <w:pPr>
      <w:pStyle w:val="Rodap"/>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52CE" w:rsidRDefault="006552CE">
      <w:r>
        <w:separator/>
      </w:r>
    </w:p>
  </w:footnote>
  <w:footnote w:type="continuationSeparator" w:id="1">
    <w:p w:rsidR="006552CE" w:rsidRDefault="006552CE">
      <w:r>
        <w:continuationSeparator/>
      </w:r>
    </w:p>
  </w:footnote>
  <w:footnote w:id="2">
    <w:p w:rsidR="006552CE" w:rsidRPr="00A86466" w:rsidRDefault="006552CE" w:rsidP="00A86466">
      <w:pPr>
        <w:pStyle w:val="Textodenotaderodap"/>
        <w:ind w:firstLine="0"/>
        <w:rPr>
          <w:rFonts w:ascii="Times New Roman" w:hAnsi="Times New Roman" w:cs="Times New Roman"/>
          <w:b w:val="0"/>
        </w:rPr>
      </w:pPr>
      <w:r w:rsidRPr="00A86466">
        <w:rPr>
          <w:rStyle w:val="Refdenotaderodap"/>
          <w:rFonts w:ascii="Times New Roman" w:hAnsi="Times New Roman" w:cs="Times New Roman"/>
          <w:b w:val="0"/>
        </w:rPr>
        <w:footnoteRef/>
      </w:r>
      <w:r w:rsidRPr="00A86466">
        <w:rPr>
          <w:rFonts w:ascii="Times New Roman" w:hAnsi="Times New Roman" w:cs="Times New Roman"/>
          <w:b w:val="0"/>
          <w:vertAlign w:val="superscript"/>
        </w:rPr>
        <w:t xml:space="preserve"> </w:t>
      </w:r>
      <w:r w:rsidRPr="00A86466">
        <w:rPr>
          <w:rFonts w:ascii="Times New Roman" w:hAnsi="Times New Roman" w:cs="Times New Roman"/>
          <w:b w:val="0"/>
        </w:rPr>
        <w:t>http://www.ifsertao-pe.edu.br/index.php/dgp-formularios</w:t>
      </w:r>
    </w:p>
  </w:footnote>
  <w:footnote w:id="3">
    <w:p w:rsidR="006552CE" w:rsidRPr="00FE0F87" w:rsidRDefault="006552CE">
      <w:pPr>
        <w:pStyle w:val="western"/>
        <w:spacing w:before="0" w:line="240" w:lineRule="auto"/>
        <w:rPr>
          <w:rFonts w:ascii="Times New Roman" w:hAnsi="Times New Roman" w:cs="Times New Roman"/>
          <w:sz w:val="20"/>
          <w:szCs w:val="20"/>
        </w:rPr>
      </w:pPr>
      <w:r w:rsidRPr="00FE0F87">
        <w:rPr>
          <w:rStyle w:val="Caracteresdenotaderodap"/>
          <w:rFonts w:ascii="Times New Roman" w:hAnsi="Times New Roman"/>
          <w:sz w:val="20"/>
          <w:szCs w:val="20"/>
        </w:rPr>
        <w:footnoteRef/>
      </w:r>
      <w:r>
        <w:rPr>
          <w:rStyle w:val="Caracteresdenotaderodap"/>
          <w:rFonts w:ascii="Times New Roman" w:hAnsi="Times New Roman"/>
          <w:sz w:val="20"/>
          <w:szCs w:val="20"/>
        </w:rPr>
        <w:t xml:space="preserve"> </w:t>
      </w:r>
      <w:r w:rsidRPr="00FE0F87">
        <w:rPr>
          <w:rFonts w:ascii="Times New Roman" w:hAnsi="Times New Roman" w:cs="Times New Roman"/>
          <w:sz w:val="20"/>
          <w:szCs w:val="20"/>
        </w:rPr>
        <w:t>Sobre</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as</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hipóteses</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de</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contratação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sem</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licitação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manifesta-se</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TCU</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no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Acórdão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n°</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1.064/05.</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Plenário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w:t>
      </w:r>
      <w:proofErr w:type="gramStart"/>
      <w:r w:rsidRPr="00FE0F87">
        <w:rPr>
          <w:rFonts w:ascii="Times New Roman" w:hAnsi="Times New Roman" w:cs="Times New Roman"/>
          <w:sz w:val="20"/>
          <w:szCs w:val="20"/>
        </w:rPr>
        <w:t>DOU,</w:t>
      </w:r>
      <w:proofErr w:type="gramEnd"/>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12</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de</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ago.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2005). Excerto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do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Voto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condutor</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do</w:t>
      </w:r>
      <w:r w:rsidRPr="00FE0F87">
        <w:rPr>
          <w:rFonts w:ascii="Times New Roman" w:eastAsia="Times New Roman" w:hAnsi="Times New Roman" w:cs="Times New Roman"/>
          <w:sz w:val="20"/>
          <w:szCs w:val="20"/>
        </w:rPr>
        <w:t xml:space="preserve"> </w:t>
      </w:r>
      <w:r w:rsidRPr="00FE0F87">
        <w:rPr>
          <w:rFonts w:ascii="Times New Roman" w:hAnsi="Times New Roman" w:cs="Times New Roman"/>
          <w:sz w:val="20"/>
          <w:szCs w:val="20"/>
        </w:rPr>
        <w:t>acórdão:</w:t>
      </w:r>
      <w:r>
        <w:rPr>
          <w:rFonts w:ascii="Times New Roman" w:hAnsi="Times New Roman" w:cs="Times New Roman"/>
          <w:sz w:val="20"/>
          <w:szCs w:val="20"/>
        </w:rPr>
        <w:t xml:space="preserve"> </w:t>
      </w:r>
      <w:r w:rsidRPr="00FE0F87">
        <w:rPr>
          <w:rFonts w:ascii="Times New Roman" w:hAnsi="Times New Roman" w:cs="Times New Roman"/>
          <w:sz w:val="20"/>
          <w:szCs w:val="20"/>
        </w:rPr>
        <w:t>“16. A inexigibilidade é espécie do gênero contratação direta, i.e., sem licitação. Na contratação direta insere-se, ainda, a licitação dispensável e a licitação dispensada. São três hipóteses, portanto, referentes à possibilidade de a Administração promover contratação sem se ater ao dever constitucional de licitar, insculpido no art. 37, inc. XXI, da atual Constituição Federal”.</w:t>
      </w:r>
    </w:p>
    <w:p w:rsidR="006552CE" w:rsidRPr="00B54DA9" w:rsidRDefault="006552CE">
      <w:pPr>
        <w:pStyle w:val="Textodenotaderodap"/>
      </w:pPr>
    </w:p>
  </w:footnote>
  <w:footnote w:id="4">
    <w:p w:rsidR="006552CE" w:rsidRPr="00B54DA9" w:rsidRDefault="006552CE">
      <w:pPr>
        <w:pStyle w:val="NormalWeb"/>
        <w:spacing w:before="0" w:after="0"/>
        <w:ind w:left="284" w:hanging="284"/>
        <w:rPr>
          <w:sz w:val="20"/>
          <w:szCs w:val="20"/>
        </w:rPr>
      </w:pPr>
      <w:r w:rsidRPr="00B54DA9">
        <w:rPr>
          <w:rStyle w:val="Caracteresdenotaderodap"/>
          <w:sz w:val="20"/>
          <w:szCs w:val="20"/>
        </w:rPr>
        <w:footnoteRef/>
      </w:r>
      <w:r>
        <w:rPr>
          <w:rStyle w:val="Caracteresdenotaderodap"/>
          <w:sz w:val="20"/>
          <w:szCs w:val="20"/>
        </w:rPr>
        <w:t xml:space="preserve"> </w:t>
      </w:r>
      <w:r w:rsidRPr="00B54DA9">
        <w:rPr>
          <w:sz w:val="20"/>
          <w:szCs w:val="20"/>
        </w:rPr>
        <w:t xml:space="preserve">DI PIETRO, Maria Sylvia Zanela. Direito </w:t>
      </w:r>
      <w:proofErr w:type="gramStart"/>
      <w:r w:rsidRPr="00B54DA9">
        <w:rPr>
          <w:sz w:val="20"/>
          <w:szCs w:val="20"/>
        </w:rPr>
        <w:t>Administrativo, p.</w:t>
      </w:r>
      <w:proofErr w:type="gramEnd"/>
      <w:r w:rsidRPr="00B54DA9">
        <w:rPr>
          <w:sz w:val="20"/>
          <w:szCs w:val="20"/>
        </w:rPr>
        <w:t xml:space="preserve"> 265.</w:t>
      </w:r>
    </w:p>
    <w:p w:rsidR="006552CE" w:rsidRDefault="006552CE">
      <w:pPr>
        <w:pStyle w:val="Textodenotaderodap"/>
      </w:pPr>
    </w:p>
  </w:footnote>
  <w:footnote w:id="5">
    <w:p w:rsidR="006552CE" w:rsidRPr="00B54DA9" w:rsidRDefault="006552CE">
      <w:pPr>
        <w:pStyle w:val="Textodenotaderodap"/>
        <w:ind w:firstLine="0"/>
        <w:rPr>
          <w:b w:val="0"/>
        </w:rPr>
      </w:pPr>
      <w:r w:rsidRPr="00B54DA9">
        <w:rPr>
          <w:rStyle w:val="Caracteresdenotaderodap"/>
          <w:rFonts w:ascii="Times New Roman" w:hAnsi="Times New Roman" w:cs="Times New Roman"/>
          <w:b w:val="0"/>
        </w:rPr>
        <w:footnoteRef/>
      </w:r>
      <w:r>
        <w:rPr>
          <w:rStyle w:val="Caracteresdenotaderodap"/>
          <w:rFonts w:ascii="Times New Roman" w:hAnsi="Times New Roman" w:cs="Times New Roman"/>
          <w:b w:val="0"/>
        </w:rPr>
        <w:t xml:space="preserve"> </w:t>
      </w:r>
      <w:r w:rsidRPr="00B54DA9">
        <w:rPr>
          <w:rFonts w:ascii="Times New Roman" w:hAnsi="Times New Roman" w:cs="Times New Roman"/>
          <w:b w:val="0"/>
        </w:rPr>
        <w:t>FERNANDES,</w:t>
      </w:r>
      <w:r w:rsidRPr="00B54DA9">
        <w:rPr>
          <w:rFonts w:ascii="Times New Roman" w:eastAsia="Arial" w:hAnsi="Times New Roman" w:cs="Times New Roman"/>
          <w:b w:val="0"/>
        </w:rPr>
        <w:t xml:space="preserve"> </w:t>
      </w:r>
      <w:r w:rsidRPr="00B54DA9">
        <w:rPr>
          <w:rFonts w:ascii="Times New Roman" w:hAnsi="Times New Roman" w:cs="Times New Roman"/>
          <w:b w:val="0"/>
        </w:rPr>
        <w:t>J.</w:t>
      </w:r>
      <w:r w:rsidRPr="00B54DA9">
        <w:rPr>
          <w:rFonts w:ascii="Times New Roman" w:eastAsia="Arial" w:hAnsi="Times New Roman" w:cs="Times New Roman"/>
          <w:b w:val="0"/>
        </w:rPr>
        <w:t xml:space="preserve"> </w:t>
      </w:r>
      <w:r w:rsidRPr="00B54DA9">
        <w:rPr>
          <w:rFonts w:ascii="Times New Roman" w:hAnsi="Times New Roman" w:cs="Times New Roman"/>
          <w:b w:val="0"/>
        </w:rPr>
        <w:t>U.</w:t>
      </w:r>
      <w:r w:rsidRPr="00B54DA9">
        <w:rPr>
          <w:rFonts w:ascii="Times New Roman" w:eastAsia="Arial" w:hAnsi="Times New Roman" w:cs="Times New Roman"/>
          <w:b w:val="0"/>
        </w:rPr>
        <w:t xml:space="preserve"> </w:t>
      </w:r>
      <w:r w:rsidRPr="00B54DA9">
        <w:rPr>
          <w:rFonts w:ascii="Times New Roman" w:hAnsi="Times New Roman" w:cs="Times New Roman"/>
          <w:b w:val="0"/>
        </w:rPr>
        <w:t>Jacoby.</w:t>
      </w:r>
      <w:r w:rsidRPr="00B54DA9">
        <w:rPr>
          <w:rFonts w:ascii="Times New Roman" w:eastAsia="Arial" w:hAnsi="Times New Roman" w:cs="Times New Roman"/>
          <w:b w:val="0"/>
        </w:rPr>
        <w:t xml:space="preserve"> </w:t>
      </w:r>
      <w:r w:rsidRPr="00B54DA9">
        <w:rPr>
          <w:rFonts w:ascii="Times New Roman" w:hAnsi="Times New Roman" w:cs="Times New Roman"/>
          <w:b w:val="0"/>
        </w:rPr>
        <w:t>Contratação</w:t>
      </w:r>
      <w:r w:rsidRPr="00B54DA9">
        <w:rPr>
          <w:rFonts w:ascii="Times New Roman" w:eastAsia="Arial" w:hAnsi="Times New Roman" w:cs="Times New Roman"/>
          <w:b w:val="0"/>
        </w:rPr>
        <w:t xml:space="preserve"> </w:t>
      </w:r>
      <w:r w:rsidRPr="00B54DA9">
        <w:rPr>
          <w:rFonts w:ascii="Times New Roman" w:hAnsi="Times New Roman" w:cs="Times New Roman"/>
          <w:b w:val="0"/>
        </w:rPr>
        <w:t>Direta</w:t>
      </w:r>
      <w:r w:rsidRPr="00B54DA9">
        <w:rPr>
          <w:rFonts w:ascii="Times New Roman" w:eastAsia="Arial" w:hAnsi="Times New Roman" w:cs="Times New Roman"/>
          <w:b w:val="0"/>
        </w:rPr>
        <w:t xml:space="preserve"> </w:t>
      </w:r>
      <w:r w:rsidRPr="00B54DA9">
        <w:rPr>
          <w:rFonts w:ascii="Times New Roman" w:hAnsi="Times New Roman" w:cs="Times New Roman"/>
          <w:b w:val="0"/>
        </w:rPr>
        <w:t>sem</w:t>
      </w:r>
      <w:r w:rsidRPr="00B54DA9">
        <w:rPr>
          <w:rFonts w:ascii="Times New Roman" w:eastAsia="Arial" w:hAnsi="Times New Roman" w:cs="Times New Roman"/>
          <w:b w:val="0"/>
        </w:rPr>
        <w:t xml:space="preserve"> </w:t>
      </w:r>
      <w:r w:rsidRPr="00B54DA9">
        <w:rPr>
          <w:rFonts w:ascii="Times New Roman" w:hAnsi="Times New Roman" w:cs="Times New Roman"/>
          <w:b w:val="0"/>
        </w:rPr>
        <w:t>Licitação.</w:t>
      </w:r>
      <w:r w:rsidRPr="00B54DA9">
        <w:rPr>
          <w:rFonts w:ascii="Times New Roman" w:eastAsia="Arial" w:hAnsi="Times New Roman" w:cs="Times New Roman"/>
          <w:b w:val="0"/>
        </w:rPr>
        <w:t xml:space="preserve"> </w:t>
      </w:r>
      <w:proofErr w:type="gramStart"/>
      <w:r w:rsidRPr="00B54DA9">
        <w:rPr>
          <w:rFonts w:ascii="Times New Roman" w:hAnsi="Times New Roman" w:cs="Times New Roman"/>
          <w:b w:val="0"/>
        </w:rPr>
        <w:t>Editora</w:t>
      </w:r>
      <w:r w:rsidRPr="00B54DA9">
        <w:rPr>
          <w:rFonts w:ascii="Times New Roman" w:eastAsia="Arial" w:hAnsi="Times New Roman" w:cs="Times New Roman"/>
          <w:b w:val="0"/>
        </w:rPr>
        <w:t xml:space="preserve"> </w:t>
      </w:r>
      <w:r w:rsidRPr="00B54DA9">
        <w:rPr>
          <w:rFonts w:ascii="Times New Roman" w:hAnsi="Times New Roman" w:cs="Times New Roman"/>
          <w:b w:val="0"/>
        </w:rPr>
        <w:t>Fórum</w:t>
      </w:r>
      <w:proofErr w:type="gramEnd"/>
      <w:r w:rsidRPr="00B54DA9">
        <w:rPr>
          <w:rFonts w:ascii="Times New Roman" w:hAnsi="Times New Roman" w:cs="Times New Roman"/>
          <w:b w:val="0"/>
        </w:rPr>
        <w:t>:</w:t>
      </w:r>
      <w:r w:rsidRPr="00B54DA9">
        <w:rPr>
          <w:rFonts w:ascii="Times New Roman" w:eastAsia="Arial" w:hAnsi="Times New Roman" w:cs="Times New Roman"/>
          <w:b w:val="0"/>
        </w:rPr>
        <w:t xml:space="preserve"> </w:t>
      </w:r>
      <w:r w:rsidRPr="00B54DA9">
        <w:rPr>
          <w:rFonts w:ascii="Times New Roman" w:hAnsi="Times New Roman" w:cs="Times New Roman"/>
          <w:b w:val="0"/>
        </w:rPr>
        <w:t>7ª</w:t>
      </w:r>
      <w:r w:rsidRPr="00B54DA9">
        <w:rPr>
          <w:rFonts w:ascii="Times New Roman" w:eastAsia="Arial" w:hAnsi="Times New Roman" w:cs="Times New Roman"/>
          <w:b w:val="0"/>
        </w:rPr>
        <w:t xml:space="preserve"> </w:t>
      </w:r>
      <w:r w:rsidRPr="00B54DA9">
        <w:rPr>
          <w:rFonts w:ascii="Times New Roman" w:hAnsi="Times New Roman" w:cs="Times New Roman"/>
          <w:b w:val="0"/>
        </w:rPr>
        <w:t>Ed,</w:t>
      </w:r>
      <w:r w:rsidRPr="00B54DA9">
        <w:rPr>
          <w:rFonts w:ascii="Times New Roman" w:eastAsia="Arial" w:hAnsi="Times New Roman" w:cs="Times New Roman"/>
          <w:b w:val="0"/>
        </w:rPr>
        <w:t xml:space="preserve"> </w:t>
      </w:r>
      <w:r w:rsidRPr="00B54DA9">
        <w:rPr>
          <w:rFonts w:ascii="Times New Roman" w:hAnsi="Times New Roman" w:cs="Times New Roman"/>
          <w:b w:val="0"/>
        </w:rPr>
        <w:t>2007,</w:t>
      </w:r>
      <w:r w:rsidRPr="00B54DA9">
        <w:rPr>
          <w:rFonts w:ascii="Times New Roman" w:eastAsia="Arial" w:hAnsi="Times New Roman" w:cs="Times New Roman"/>
          <w:b w:val="0"/>
        </w:rPr>
        <w:t xml:space="preserve"> </w:t>
      </w:r>
      <w:r w:rsidRPr="00B54DA9">
        <w:rPr>
          <w:rFonts w:ascii="Times New Roman" w:hAnsi="Times New Roman" w:cs="Times New Roman"/>
          <w:b w:val="0"/>
        </w:rPr>
        <w:t>Belo</w:t>
      </w:r>
      <w:r w:rsidRPr="00B54DA9">
        <w:rPr>
          <w:rFonts w:ascii="Times New Roman" w:eastAsia="Arial" w:hAnsi="Times New Roman" w:cs="Times New Roman"/>
          <w:b w:val="0"/>
        </w:rPr>
        <w:t xml:space="preserve"> </w:t>
      </w:r>
      <w:r w:rsidRPr="00B54DA9">
        <w:rPr>
          <w:rFonts w:ascii="Times New Roman" w:hAnsi="Times New Roman" w:cs="Times New Roman"/>
          <w:b w:val="0"/>
        </w:rPr>
        <w:t>Horizonte,</w:t>
      </w:r>
      <w:r w:rsidRPr="00B54DA9">
        <w:rPr>
          <w:rFonts w:ascii="Times New Roman" w:eastAsia="Arial" w:hAnsi="Times New Roman" w:cs="Times New Roman"/>
          <w:b w:val="0"/>
        </w:rPr>
        <w:t xml:space="preserve"> </w:t>
      </w:r>
      <w:r w:rsidRPr="00B54DA9">
        <w:rPr>
          <w:rFonts w:ascii="Times New Roman" w:hAnsi="Times New Roman" w:cs="Times New Roman"/>
          <w:b w:val="0"/>
        </w:rPr>
        <w:t>p.</w:t>
      </w:r>
      <w:r w:rsidRPr="00B54DA9">
        <w:rPr>
          <w:rFonts w:ascii="Times New Roman" w:eastAsia="Arial" w:hAnsi="Times New Roman" w:cs="Times New Roman"/>
          <w:b w:val="0"/>
        </w:rPr>
        <w:t xml:space="preserve"> </w:t>
      </w:r>
      <w:r w:rsidRPr="00B54DA9">
        <w:rPr>
          <w:rFonts w:ascii="Times New Roman" w:hAnsi="Times New Roman" w:cs="Times New Roman"/>
          <w:b w:val="0"/>
        </w:rPr>
        <w:t>596.</w:t>
      </w:r>
    </w:p>
  </w:footnote>
  <w:footnote w:id="6">
    <w:p w:rsidR="006552CE" w:rsidRPr="004C06A7" w:rsidRDefault="006552CE">
      <w:pPr>
        <w:pStyle w:val="Textodenotaderodap"/>
        <w:ind w:firstLine="0"/>
        <w:rPr>
          <w:b w:val="0"/>
        </w:rPr>
      </w:pPr>
      <w:r w:rsidRPr="00B54DA9">
        <w:rPr>
          <w:rStyle w:val="Caracteresdenotaderodap"/>
          <w:rFonts w:ascii="Times New Roman" w:hAnsi="Times New Roman" w:cs="Times New Roman"/>
          <w:b w:val="0"/>
        </w:rPr>
        <w:footnoteRef/>
      </w:r>
      <w:r>
        <w:rPr>
          <w:rStyle w:val="Caracteresdenotaderodap"/>
          <w:rFonts w:ascii="Times New Roman" w:hAnsi="Times New Roman" w:cs="Times New Roman"/>
          <w:b w:val="0"/>
        </w:rPr>
        <w:t xml:space="preserve"> </w:t>
      </w:r>
      <w:r w:rsidRPr="00B54DA9">
        <w:rPr>
          <w:rFonts w:ascii="Times New Roman" w:hAnsi="Times New Roman" w:cs="Times New Roman"/>
          <w:b w:val="0"/>
        </w:rPr>
        <w:t>Direito</w:t>
      </w:r>
      <w:r w:rsidRPr="00B54DA9">
        <w:rPr>
          <w:rFonts w:ascii="Times New Roman" w:eastAsia="Arial" w:hAnsi="Times New Roman" w:cs="Times New Roman"/>
          <w:b w:val="0"/>
        </w:rPr>
        <w:t xml:space="preserve"> </w:t>
      </w:r>
      <w:r w:rsidRPr="00B54DA9">
        <w:rPr>
          <w:rFonts w:ascii="Times New Roman" w:hAnsi="Times New Roman" w:cs="Times New Roman"/>
          <w:b w:val="0"/>
        </w:rPr>
        <w:t>Administrativo</w:t>
      </w:r>
      <w:r w:rsidRPr="00B54DA9">
        <w:rPr>
          <w:rFonts w:ascii="Times New Roman" w:eastAsia="Arial" w:hAnsi="Times New Roman" w:cs="Times New Roman"/>
          <w:b w:val="0"/>
        </w:rPr>
        <w:t xml:space="preserve"> </w:t>
      </w:r>
      <w:r w:rsidRPr="00B54DA9">
        <w:rPr>
          <w:rFonts w:ascii="Times New Roman" w:hAnsi="Times New Roman" w:cs="Times New Roman"/>
          <w:b w:val="0"/>
        </w:rPr>
        <w:t>Brasileiro.</w:t>
      </w:r>
      <w:r w:rsidRPr="00B54DA9">
        <w:rPr>
          <w:rFonts w:ascii="Times New Roman" w:eastAsia="Arial" w:hAnsi="Times New Roman" w:cs="Times New Roman"/>
          <w:b w:val="0"/>
        </w:rPr>
        <w:t xml:space="preserve"> </w:t>
      </w:r>
      <w:r w:rsidRPr="00B54DA9">
        <w:rPr>
          <w:rFonts w:ascii="Times New Roman" w:hAnsi="Times New Roman" w:cs="Times New Roman"/>
          <w:b w:val="0"/>
        </w:rPr>
        <w:t>29</w:t>
      </w:r>
      <w:r w:rsidRPr="00B54DA9">
        <w:rPr>
          <w:rFonts w:ascii="Times New Roman" w:eastAsia="Arial" w:hAnsi="Times New Roman" w:cs="Times New Roman"/>
          <w:b w:val="0"/>
        </w:rPr>
        <w:t xml:space="preserve"> </w:t>
      </w:r>
      <w:r w:rsidRPr="00B54DA9">
        <w:rPr>
          <w:rFonts w:ascii="Times New Roman" w:hAnsi="Times New Roman" w:cs="Times New Roman"/>
          <w:b w:val="0"/>
        </w:rPr>
        <w:t>ed.</w:t>
      </w:r>
      <w:r w:rsidRPr="00B54DA9">
        <w:rPr>
          <w:rFonts w:ascii="Times New Roman" w:eastAsia="Arial" w:hAnsi="Times New Roman" w:cs="Times New Roman"/>
          <w:b w:val="0"/>
        </w:rPr>
        <w:t xml:space="preserve"> </w:t>
      </w:r>
      <w:r w:rsidRPr="00B54DA9">
        <w:rPr>
          <w:rFonts w:ascii="Times New Roman" w:hAnsi="Times New Roman" w:cs="Times New Roman"/>
          <w:b w:val="0"/>
        </w:rPr>
        <w:t>São</w:t>
      </w:r>
      <w:r w:rsidRPr="00B54DA9">
        <w:rPr>
          <w:rFonts w:ascii="Times New Roman" w:eastAsia="Arial" w:hAnsi="Times New Roman" w:cs="Times New Roman"/>
          <w:b w:val="0"/>
        </w:rPr>
        <w:t xml:space="preserve"> </w:t>
      </w:r>
      <w:r w:rsidRPr="00B54DA9">
        <w:rPr>
          <w:rFonts w:ascii="Times New Roman" w:hAnsi="Times New Roman" w:cs="Times New Roman"/>
          <w:b w:val="0"/>
        </w:rPr>
        <w:t>Paulo:</w:t>
      </w:r>
      <w:r w:rsidRPr="00B54DA9">
        <w:rPr>
          <w:rFonts w:ascii="Times New Roman" w:eastAsia="Arial" w:hAnsi="Times New Roman" w:cs="Times New Roman"/>
          <w:b w:val="0"/>
        </w:rPr>
        <w:t xml:space="preserve"> </w:t>
      </w:r>
      <w:r w:rsidRPr="00B54DA9">
        <w:rPr>
          <w:rFonts w:ascii="Times New Roman" w:hAnsi="Times New Roman" w:cs="Times New Roman"/>
          <w:b w:val="0"/>
        </w:rPr>
        <w:t>Malheiros,</w:t>
      </w:r>
      <w:r w:rsidRPr="00B54DA9">
        <w:rPr>
          <w:rFonts w:ascii="Times New Roman" w:eastAsia="Arial" w:hAnsi="Times New Roman" w:cs="Times New Roman"/>
          <w:b w:val="0"/>
        </w:rPr>
        <w:t xml:space="preserve"> </w:t>
      </w:r>
      <w:r w:rsidRPr="00B54DA9">
        <w:rPr>
          <w:rFonts w:ascii="Times New Roman" w:hAnsi="Times New Roman" w:cs="Times New Roman"/>
          <w:b w:val="0"/>
        </w:rPr>
        <w:t>2004,</w:t>
      </w:r>
      <w:r w:rsidRPr="00B54DA9">
        <w:rPr>
          <w:rFonts w:ascii="Times New Roman" w:eastAsia="Arial" w:hAnsi="Times New Roman" w:cs="Times New Roman"/>
          <w:b w:val="0"/>
        </w:rPr>
        <w:t xml:space="preserve"> </w:t>
      </w:r>
      <w:r w:rsidRPr="00B54DA9">
        <w:rPr>
          <w:rFonts w:ascii="Times New Roman" w:hAnsi="Times New Roman" w:cs="Times New Roman"/>
          <w:b w:val="0"/>
        </w:rPr>
        <w:t>p.</w:t>
      </w:r>
      <w:r w:rsidRPr="00B54DA9">
        <w:rPr>
          <w:rFonts w:ascii="Times New Roman" w:eastAsia="Arial" w:hAnsi="Times New Roman" w:cs="Times New Roman"/>
          <w:b w:val="0"/>
        </w:rPr>
        <w:t xml:space="preserve"> </w:t>
      </w:r>
      <w:r w:rsidRPr="00B54DA9">
        <w:rPr>
          <w:rFonts w:ascii="Times New Roman" w:hAnsi="Times New Roman" w:cs="Times New Roman"/>
          <w:b w:val="0"/>
        </w:rPr>
        <w:t>277.</w:t>
      </w:r>
    </w:p>
  </w:footnote>
  <w:footnote w:id="7">
    <w:p w:rsidR="006552CE" w:rsidRDefault="006552CE">
      <w:pPr>
        <w:pStyle w:val="Textodenotaderodap"/>
        <w:ind w:firstLine="0"/>
      </w:pPr>
      <w:r>
        <w:rPr>
          <w:rStyle w:val="Caracteresdenotaderodap"/>
          <w:rFonts w:ascii="Times New Roman" w:hAnsi="Times New Roman" w:cs="Times New Roman"/>
        </w:rPr>
        <w:footnoteRef/>
      </w:r>
      <w:r>
        <w:rPr>
          <w:rStyle w:val="Caracteresdenotaderodap"/>
          <w:rFonts w:ascii="Times New Roman" w:hAnsi="Times New Roman" w:cs="Times New Roman"/>
        </w:rPr>
        <w:t xml:space="preserve"> </w:t>
      </w:r>
      <w:r>
        <w:rPr>
          <w:rFonts w:ascii="Times New Roman" w:hAnsi="Times New Roman" w:cs="Times New Roman"/>
        </w:rPr>
        <w:t>Licitações</w:t>
      </w:r>
      <w:r>
        <w:rPr>
          <w:rFonts w:ascii="Times New Roman" w:eastAsia="Arial" w:hAnsi="Times New Roman" w:cs="Times New Roman"/>
        </w:rPr>
        <w:t xml:space="preserve"> </w:t>
      </w:r>
      <w:r>
        <w:rPr>
          <w:rFonts w:ascii="Times New Roman" w:hAnsi="Times New Roman" w:cs="Times New Roman"/>
        </w:rPr>
        <w:t>e</w:t>
      </w:r>
      <w:r>
        <w:rPr>
          <w:rFonts w:ascii="Times New Roman" w:eastAsia="Arial" w:hAnsi="Times New Roman" w:cs="Times New Roman"/>
        </w:rPr>
        <w:t xml:space="preserve"> </w:t>
      </w:r>
      <w:r>
        <w:rPr>
          <w:rFonts w:ascii="Times New Roman" w:hAnsi="Times New Roman" w:cs="Times New Roman"/>
        </w:rPr>
        <w:t>Contratos.</w:t>
      </w:r>
      <w:r>
        <w:rPr>
          <w:rFonts w:ascii="Times New Roman" w:eastAsia="Arial" w:hAnsi="Times New Roman" w:cs="Times New Roman"/>
        </w:rPr>
        <w:t xml:space="preserve"> </w:t>
      </w:r>
      <w:r>
        <w:rPr>
          <w:rFonts w:ascii="Times New Roman" w:hAnsi="Times New Roman" w:cs="Times New Roman"/>
        </w:rPr>
        <w:t>Orientações</w:t>
      </w:r>
      <w:r>
        <w:rPr>
          <w:rFonts w:ascii="Times New Roman" w:eastAsia="Arial" w:hAnsi="Times New Roman" w:cs="Times New Roman"/>
        </w:rPr>
        <w:t xml:space="preserve"> </w:t>
      </w:r>
      <w:r>
        <w:rPr>
          <w:rFonts w:ascii="Times New Roman" w:hAnsi="Times New Roman" w:cs="Times New Roman"/>
        </w:rPr>
        <w:t>e</w:t>
      </w:r>
      <w:r>
        <w:rPr>
          <w:rFonts w:ascii="Times New Roman" w:eastAsia="Arial" w:hAnsi="Times New Roman" w:cs="Times New Roman"/>
        </w:rPr>
        <w:t xml:space="preserve"> </w:t>
      </w:r>
      <w:r>
        <w:rPr>
          <w:rFonts w:ascii="Times New Roman" w:hAnsi="Times New Roman" w:cs="Times New Roman"/>
        </w:rPr>
        <w:t>Jurisprudência</w:t>
      </w:r>
      <w:r>
        <w:rPr>
          <w:rFonts w:ascii="Times New Roman" w:eastAsia="Arial" w:hAnsi="Times New Roman" w:cs="Times New Roman"/>
        </w:rPr>
        <w:t xml:space="preserve"> </w:t>
      </w:r>
      <w:r>
        <w:rPr>
          <w:rFonts w:ascii="Times New Roman" w:hAnsi="Times New Roman" w:cs="Times New Roman"/>
        </w:rPr>
        <w:t>do</w:t>
      </w:r>
      <w:r>
        <w:rPr>
          <w:rFonts w:ascii="Times New Roman" w:eastAsia="Arial" w:hAnsi="Times New Roman" w:cs="Times New Roman"/>
        </w:rPr>
        <w:t xml:space="preserve"> </w:t>
      </w:r>
      <w:r>
        <w:rPr>
          <w:rFonts w:ascii="Times New Roman" w:hAnsi="Times New Roman" w:cs="Times New Roman"/>
        </w:rPr>
        <w:t>TCU.</w:t>
      </w:r>
      <w:r>
        <w:rPr>
          <w:rFonts w:ascii="Times New Roman" w:eastAsia="Arial" w:hAnsi="Times New Roman" w:cs="Times New Roman"/>
        </w:rPr>
        <w:t xml:space="preserve"> </w:t>
      </w:r>
      <w:r>
        <w:rPr>
          <w:rFonts w:ascii="Times New Roman" w:hAnsi="Times New Roman" w:cs="Times New Roman"/>
        </w:rPr>
        <w:t>4ª</w:t>
      </w:r>
      <w:r>
        <w:rPr>
          <w:rFonts w:ascii="Times New Roman" w:eastAsia="Arial" w:hAnsi="Times New Roman" w:cs="Times New Roman"/>
        </w:rPr>
        <w:t xml:space="preserve"> </w:t>
      </w:r>
      <w:r>
        <w:rPr>
          <w:rFonts w:ascii="Times New Roman" w:hAnsi="Times New Roman" w:cs="Times New Roman"/>
        </w:rPr>
        <w:t>ed.</w:t>
      </w:r>
      <w:r>
        <w:rPr>
          <w:rFonts w:ascii="Times New Roman" w:eastAsia="Arial" w:hAnsi="Times New Roman" w:cs="Times New Roman"/>
        </w:rPr>
        <w:t xml:space="preserve"> </w:t>
      </w:r>
      <w:r>
        <w:rPr>
          <w:rFonts w:ascii="Times New Roman" w:hAnsi="Times New Roman" w:cs="Times New Roman"/>
        </w:rPr>
        <w:t>Brasília,</w:t>
      </w:r>
      <w:r>
        <w:rPr>
          <w:rFonts w:ascii="Times New Roman" w:eastAsia="Arial" w:hAnsi="Times New Roman" w:cs="Times New Roman"/>
        </w:rPr>
        <w:t xml:space="preserve"> </w:t>
      </w:r>
      <w:r>
        <w:rPr>
          <w:rFonts w:ascii="Times New Roman" w:hAnsi="Times New Roman" w:cs="Times New Roman"/>
        </w:rPr>
        <w:t>2010.</w:t>
      </w:r>
      <w:r>
        <w:rPr>
          <w:rFonts w:ascii="Times New Roman" w:eastAsia="Arial" w:hAnsi="Times New Roman" w:cs="Times New Roman"/>
        </w:rPr>
        <w:t xml:space="preserve"> </w:t>
      </w:r>
      <w:proofErr w:type="gramStart"/>
      <w:r>
        <w:rPr>
          <w:rFonts w:ascii="Times New Roman" w:hAnsi="Times New Roman" w:cs="Times New Roman"/>
        </w:rPr>
        <w:t>p.</w:t>
      </w:r>
      <w:proofErr w:type="gramEnd"/>
      <w:r>
        <w:rPr>
          <w:rFonts w:ascii="Times New Roman" w:eastAsia="Arial" w:hAnsi="Times New Roman" w:cs="Times New Roman"/>
        </w:rPr>
        <w:t xml:space="preserve"> </w:t>
      </w:r>
      <w:r>
        <w:rPr>
          <w:rFonts w:ascii="Times New Roman" w:hAnsi="Times New Roman" w:cs="Times New Roman"/>
        </w:rPr>
        <w:t>634.</w:t>
      </w:r>
    </w:p>
  </w:footnote>
  <w:footnote w:id="8">
    <w:p w:rsidR="006552CE" w:rsidRPr="00B30AD0" w:rsidRDefault="006552CE" w:rsidP="00B30AD0">
      <w:pPr>
        <w:pStyle w:val="Textodenotaderodap"/>
        <w:ind w:firstLine="0"/>
        <w:rPr>
          <w:rFonts w:ascii="Times New Roman" w:hAnsi="Times New Roman" w:cs="Times New Roman"/>
          <w:b w:val="0"/>
        </w:rPr>
      </w:pPr>
      <w:r w:rsidRPr="00B30AD0">
        <w:rPr>
          <w:rStyle w:val="Refdenotaderodap"/>
          <w:rFonts w:ascii="Times New Roman" w:hAnsi="Times New Roman" w:cs="Times New Roman"/>
          <w:b w:val="0"/>
        </w:rPr>
        <w:footnoteRef/>
      </w:r>
      <w:r w:rsidRPr="00B30AD0">
        <w:rPr>
          <w:rFonts w:ascii="Times New Roman" w:hAnsi="Times New Roman" w:cs="Times New Roman"/>
          <w:b w:val="0"/>
        </w:rPr>
        <w:t xml:space="preserve"> Isto é, R$ 8.000,00.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52CE" w:rsidRDefault="006552CE">
    <w:pPr>
      <w:jc w:val="center"/>
      <w:rPr>
        <w:b/>
        <w:sz w:val="22"/>
        <w:szCs w:val="22"/>
      </w:rPr>
    </w:pPr>
    <w:r w:rsidRPr="005A7536">
      <w:rPr>
        <w:szCs w:val="24"/>
      </w:rPr>
      <w:object w:dxaOrig="1095" w:dyaOrig="1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pt;height:59.1pt" o:ole="" filled="t">
          <v:fill color2="black"/>
          <v:imagedata r:id="rId1" o:title=""/>
        </v:shape>
        <o:OLEObject Type="Embed" ProgID="Word.Picture.8" ShapeID="_x0000_i1025" DrawAspect="Content" ObjectID="_1594811957" r:id="rId2"/>
      </w:object>
    </w:r>
    <w:r>
      <w:object w:dxaOrig="321" w:dyaOrig="321">
        <v:shape id="ole_rId1" o:spid="_x0000_i1026" style="width:28.55pt;height:28.55pt" coordsize="" o:spt="100" adj="0,,0" path="" stroked="f">
          <v:stroke joinstyle="miter"/>
          <v:imagedata r:id="rId3" o:title=""/>
          <v:formulas/>
          <v:path o:connecttype="segments"/>
        </v:shape>
        <o:OLEObject Type="Embed" ProgID="Word.Picture.8" ShapeID="ole_rId1" DrawAspect="Content" ObjectID="_1594811958" r:id="rId4"/>
      </w:object>
    </w:r>
    <w:r w:rsidR="005A051E" w:rsidRPr="005A051E">
      <w:pict>
        <v:rect id="shape_0" o:spid="_x0000_s1025" style="position:absolute;left:0;text-align:left;margin-left:529.35pt;margin-top:.05pt;width:22.95pt;height:11.1pt;z-index:251660288;mso-position-horizontal-relative:page;mso-position-vertical-relative:text" filled="f" stroked="f" strokecolor="#3465a4">
          <v:fill o:detectmouseclick="t"/>
          <v:stroke joinstyle="round"/>
          <v:textbox>
            <w:txbxContent>
              <w:p w:rsidR="006552CE" w:rsidRDefault="006552CE">
                <w:pPr>
                  <w:pStyle w:val="Cabealho"/>
                  <w:rPr>
                    <w:color w:val="000000"/>
                  </w:rPr>
                </w:pPr>
              </w:p>
            </w:txbxContent>
          </v:textbox>
          <w10:wrap anchorx="page"/>
        </v:rect>
      </w:pict>
    </w:r>
  </w:p>
  <w:p w:rsidR="006552CE" w:rsidRPr="00AF67B0" w:rsidRDefault="006552CE">
    <w:pPr>
      <w:jc w:val="center"/>
      <w:rPr>
        <w:b/>
        <w:sz w:val="22"/>
        <w:szCs w:val="22"/>
      </w:rPr>
    </w:pPr>
    <w:r w:rsidRPr="00AF67B0">
      <w:rPr>
        <w:b/>
        <w:sz w:val="22"/>
        <w:szCs w:val="22"/>
      </w:rPr>
      <w:t>ADVOCACIA-GERAL DA UNIÃO</w:t>
    </w:r>
  </w:p>
  <w:p w:rsidR="006552CE" w:rsidRPr="00AF67B0" w:rsidRDefault="006552CE">
    <w:pPr>
      <w:jc w:val="center"/>
      <w:rPr>
        <w:b/>
        <w:sz w:val="22"/>
        <w:szCs w:val="22"/>
      </w:rPr>
    </w:pPr>
    <w:r w:rsidRPr="00AF67B0">
      <w:rPr>
        <w:b/>
        <w:sz w:val="22"/>
        <w:szCs w:val="22"/>
      </w:rPr>
      <w:t>PROCURADORIA-GERAL FEDERAL</w:t>
    </w:r>
  </w:p>
  <w:p w:rsidR="006552CE" w:rsidRPr="00AF67B0" w:rsidRDefault="006552CE">
    <w:pPr>
      <w:jc w:val="center"/>
      <w:rPr>
        <w:b/>
        <w:sz w:val="22"/>
        <w:szCs w:val="22"/>
      </w:rPr>
    </w:pPr>
    <w:r w:rsidRPr="00AF67B0">
      <w:rPr>
        <w:b/>
        <w:sz w:val="22"/>
        <w:szCs w:val="22"/>
      </w:rPr>
      <w:t>PROCURADORIA FEDERAL JUNTO AO IF SERTÃO – PE</w:t>
    </w:r>
  </w:p>
  <w:p w:rsidR="006552CE" w:rsidRDefault="006552CE">
    <w:pPr>
      <w:jc w:val="center"/>
      <w:rPr>
        <w:b/>
        <w:sz w:val="22"/>
        <w:szCs w:val="22"/>
      </w:rPr>
    </w:pPr>
  </w:p>
  <w:p w:rsidR="006552CE" w:rsidRDefault="006552CE">
    <w:pPr>
      <w:jc w:val="center"/>
      <w:rPr>
        <w:b/>
        <w:sz w:val="22"/>
        <w:szCs w:val="22"/>
      </w:rPr>
    </w:pPr>
    <w:r w:rsidRPr="00A66A7D">
      <w:rPr>
        <w:b/>
        <w:sz w:val="22"/>
        <w:szCs w:val="22"/>
      </w:rPr>
      <w:object w:dxaOrig="8940" w:dyaOrig="12645">
        <v:shape id="_x0000_i1027" type="#_x0000_t75" style="width:447.6pt;height:632.4pt" o:ole="">
          <v:imagedata r:id="rId5" o:title=""/>
        </v:shape>
        <o:OLEObject Type="Embed" ProgID="AcroExch.Document.7" ShapeID="_x0000_i1027" DrawAspect="Content" ObjectID="_1594811959" r:id="rId6"/>
      </w:object>
    </w:r>
    <w:r>
      <w:rPr>
        <w:b/>
        <w:sz w:val="22"/>
        <w:szCs w:val="22"/>
      </w:rPr>
      <w:t>PROCURADORIA FEDERAL JUNTO AO IF SERTÃO - PE</w:t>
    </w:r>
  </w:p>
  <w:p w:rsidR="006552CE" w:rsidRDefault="006552CE">
    <w:pPr>
      <w:pStyle w:val="Cabealho"/>
      <w:rPr>
        <w:sz w:val="20"/>
      </w:rPr>
    </w:pPr>
  </w:p>
  <w:p w:rsidR="006552CE" w:rsidRDefault="006552CE">
    <w:pPr>
      <w:pStyle w:val="Cabealho"/>
      <w:rPr>
        <w:sz w:val="20"/>
      </w:rPr>
    </w:pPr>
    <w:r>
      <w:rPr>
        <w:sz w:val="20"/>
      </w:rPr>
      <w:t>Continuação Parecer n.º 00000/2017/AGU/PGF/PF IF SERTÃO-PE</w:t>
    </w:r>
  </w:p>
  <w:p w:rsidR="006552CE" w:rsidRDefault="006552CE">
    <w:pPr>
      <w:pStyle w:val="Cabealho"/>
      <w:rPr>
        <w:sz w:val="20"/>
      </w:rPr>
    </w:pPr>
  </w:p>
  <w:p w:rsidR="006552CE" w:rsidRDefault="006552CE">
    <w:pPr>
      <w:pStyle w:val="Cabealho"/>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 w:name="_1404048890"/>
  <w:p w:rsidR="006552CE" w:rsidRDefault="006552CE">
    <w:pPr>
      <w:jc w:val="center"/>
      <w:rPr>
        <w:b/>
        <w:sz w:val="22"/>
        <w:szCs w:val="22"/>
      </w:rPr>
    </w:pPr>
    <w:r w:rsidRPr="005A7536">
      <w:rPr>
        <w:szCs w:val="24"/>
      </w:rPr>
      <w:object w:dxaOrig="1095" w:dyaOrig="11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5pt;height:59.1pt" o:ole="" filled="t">
          <v:fill color2="black"/>
          <v:imagedata r:id="rId1" o:title=""/>
        </v:shape>
        <o:OLEObject Type="Embed" ProgID="Word.Picture.8" ShapeID="_x0000_i1028" DrawAspect="Content" ObjectID="_1594811960" r:id="rId2"/>
      </w:object>
    </w:r>
    <w:bookmarkEnd w:id="1"/>
  </w:p>
  <w:p w:rsidR="006552CE" w:rsidRDefault="006552CE">
    <w:pPr>
      <w:jc w:val="center"/>
      <w:rPr>
        <w:b/>
        <w:szCs w:val="24"/>
      </w:rPr>
    </w:pPr>
    <w:r>
      <w:rPr>
        <w:b/>
        <w:szCs w:val="24"/>
      </w:rPr>
      <w:t>ADVOCACIA-GERAL DA UNIÃO</w:t>
    </w:r>
  </w:p>
  <w:p w:rsidR="006552CE" w:rsidRDefault="006552CE">
    <w:pPr>
      <w:jc w:val="center"/>
      <w:rPr>
        <w:b/>
        <w:szCs w:val="24"/>
      </w:rPr>
    </w:pPr>
    <w:r>
      <w:rPr>
        <w:b/>
        <w:szCs w:val="24"/>
      </w:rPr>
      <w:t>PROCURADORIA-GERAL FEDERAL</w:t>
    </w:r>
  </w:p>
  <w:p w:rsidR="006552CE" w:rsidRDefault="006552CE">
    <w:pPr>
      <w:jc w:val="center"/>
      <w:rPr>
        <w:b/>
        <w:szCs w:val="24"/>
      </w:rPr>
    </w:pPr>
    <w:r>
      <w:rPr>
        <w:b/>
        <w:szCs w:val="24"/>
      </w:rPr>
      <w:t>PROCURADORIA FEDERAL JUNTO AO IF SERTÃO - PE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0"/>
    <w:footnote w:id="1"/>
  </w:footnotePr>
  <w:endnotePr>
    <w:endnote w:id="0"/>
    <w:endnote w:id="1"/>
  </w:endnotePr>
  <w:compat/>
  <w:rsids>
    <w:rsidRoot w:val="00DF4F4F"/>
    <w:rsid w:val="00011C26"/>
    <w:rsid w:val="00012615"/>
    <w:rsid w:val="00015A8F"/>
    <w:rsid w:val="0002128B"/>
    <w:rsid w:val="000212EA"/>
    <w:rsid w:val="000217E5"/>
    <w:rsid w:val="00022591"/>
    <w:rsid w:val="00023410"/>
    <w:rsid w:val="00025EED"/>
    <w:rsid w:val="00025F61"/>
    <w:rsid w:val="0003277D"/>
    <w:rsid w:val="00032C19"/>
    <w:rsid w:val="00034799"/>
    <w:rsid w:val="00046256"/>
    <w:rsid w:val="000469A5"/>
    <w:rsid w:val="0004796A"/>
    <w:rsid w:val="0004796D"/>
    <w:rsid w:val="00051DC8"/>
    <w:rsid w:val="00055841"/>
    <w:rsid w:val="00060B3D"/>
    <w:rsid w:val="00063780"/>
    <w:rsid w:val="00066C79"/>
    <w:rsid w:val="00066E41"/>
    <w:rsid w:val="000723EB"/>
    <w:rsid w:val="000726F0"/>
    <w:rsid w:val="000747F2"/>
    <w:rsid w:val="00083EBF"/>
    <w:rsid w:val="00093DE5"/>
    <w:rsid w:val="00096B7F"/>
    <w:rsid w:val="00096EC8"/>
    <w:rsid w:val="000A02D7"/>
    <w:rsid w:val="000A3464"/>
    <w:rsid w:val="000A537F"/>
    <w:rsid w:val="000A721D"/>
    <w:rsid w:val="000B0D02"/>
    <w:rsid w:val="000B1CDD"/>
    <w:rsid w:val="000B2BFD"/>
    <w:rsid w:val="000B2F7C"/>
    <w:rsid w:val="000B3EF5"/>
    <w:rsid w:val="000B7304"/>
    <w:rsid w:val="000B77DD"/>
    <w:rsid w:val="000C1C34"/>
    <w:rsid w:val="000C6399"/>
    <w:rsid w:val="000D2509"/>
    <w:rsid w:val="000D468E"/>
    <w:rsid w:val="000D63C0"/>
    <w:rsid w:val="000D68BA"/>
    <w:rsid w:val="000E1353"/>
    <w:rsid w:val="000E64AF"/>
    <w:rsid w:val="000F08D7"/>
    <w:rsid w:val="000F25BC"/>
    <w:rsid w:val="000F5BC5"/>
    <w:rsid w:val="001011DF"/>
    <w:rsid w:val="00102392"/>
    <w:rsid w:val="00102B20"/>
    <w:rsid w:val="00104F35"/>
    <w:rsid w:val="0010557C"/>
    <w:rsid w:val="00111F1B"/>
    <w:rsid w:val="001128D1"/>
    <w:rsid w:val="00113634"/>
    <w:rsid w:val="0011400A"/>
    <w:rsid w:val="00126BF8"/>
    <w:rsid w:val="001358E0"/>
    <w:rsid w:val="001440ED"/>
    <w:rsid w:val="001516BC"/>
    <w:rsid w:val="0015231F"/>
    <w:rsid w:val="00155173"/>
    <w:rsid w:val="00157DA7"/>
    <w:rsid w:val="0016034E"/>
    <w:rsid w:val="00160361"/>
    <w:rsid w:val="001622D3"/>
    <w:rsid w:val="001662A5"/>
    <w:rsid w:val="001674CD"/>
    <w:rsid w:val="00175756"/>
    <w:rsid w:val="0018439D"/>
    <w:rsid w:val="00187CA3"/>
    <w:rsid w:val="00190B9E"/>
    <w:rsid w:val="00190EF9"/>
    <w:rsid w:val="00191707"/>
    <w:rsid w:val="0019234A"/>
    <w:rsid w:val="00193F52"/>
    <w:rsid w:val="00195AC1"/>
    <w:rsid w:val="00197086"/>
    <w:rsid w:val="00197169"/>
    <w:rsid w:val="001A16CA"/>
    <w:rsid w:val="001A1D9A"/>
    <w:rsid w:val="001A34DB"/>
    <w:rsid w:val="001B1BED"/>
    <w:rsid w:val="001B2822"/>
    <w:rsid w:val="001B34C0"/>
    <w:rsid w:val="001B4916"/>
    <w:rsid w:val="001C31E9"/>
    <w:rsid w:val="001C4A53"/>
    <w:rsid w:val="001D11EF"/>
    <w:rsid w:val="001D4074"/>
    <w:rsid w:val="001D5361"/>
    <w:rsid w:val="001E0647"/>
    <w:rsid w:val="001E1DAB"/>
    <w:rsid w:val="001E3A68"/>
    <w:rsid w:val="001E5175"/>
    <w:rsid w:val="001E5519"/>
    <w:rsid w:val="001E5526"/>
    <w:rsid w:val="001E61F4"/>
    <w:rsid w:val="001E740E"/>
    <w:rsid w:val="001F00D0"/>
    <w:rsid w:val="001F3330"/>
    <w:rsid w:val="001F42B6"/>
    <w:rsid w:val="0020533D"/>
    <w:rsid w:val="002074EB"/>
    <w:rsid w:val="002226A1"/>
    <w:rsid w:val="002401A5"/>
    <w:rsid w:val="00241137"/>
    <w:rsid w:val="00243290"/>
    <w:rsid w:val="002463F4"/>
    <w:rsid w:val="00247240"/>
    <w:rsid w:val="00251367"/>
    <w:rsid w:val="002576C6"/>
    <w:rsid w:val="00260ECA"/>
    <w:rsid w:val="00262A29"/>
    <w:rsid w:val="002676CD"/>
    <w:rsid w:val="0027016F"/>
    <w:rsid w:val="00275B1C"/>
    <w:rsid w:val="00276F41"/>
    <w:rsid w:val="00281F6A"/>
    <w:rsid w:val="00284346"/>
    <w:rsid w:val="002933B3"/>
    <w:rsid w:val="002A016A"/>
    <w:rsid w:val="002A058B"/>
    <w:rsid w:val="002A48A5"/>
    <w:rsid w:val="002A7712"/>
    <w:rsid w:val="002B04B6"/>
    <w:rsid w:val="002B04CE"/>
    <w:rsid w:val="002B61C8"/>
    <w:rsid w:val="002C4056"/>
    <w:rsid w:val="002C659B"/>
    <w:rsid w:val="002D06C7"/>
    <w:rsid w:val="002D318F"/>
    <w:rsid w:val="002D4C69"/>
    <w:rsid w:val="002D76FB"/>
    <w:rsid w:val="002E1F1D"/>
    <w:rsid w:val="002E2564"/>
    <w:rsid w:val="002E517A"/>
    <w:rsid w:val="002F2C1A"/>
    <w:rsid w:val="003030BE"/>
    <w:rsid w:val="00307259"/>
    <w:rsid w:val="003077E6"/>
    <w:rsid w:val="00307831"/>
    <w:rsid w:val="00317F54"/>
    <w:rsid w:val="00322AE0"/>
    <w:rsid w:val="00324512"/>
    <w:rsid w:val="00326BA1"/>
    <w:rsid w:val="0033226C"/>
    <w:rsid w:val="00332BD0"/>
    <w:rsid w:val="003416C6"/>
    <w:rsid w:val="003459F8"/>
    <w:rsid w:val="00353CDF"/>
    <w:rsid w:val="00360C68"/>
    <w:rsid w:val="00366600"/>
    <w:rsid w:val="00371697"/>
    <w:rsid w:val="00371897"/>
    <w:rsid w:val="00373F53"/>
    <w:rsid w:val="00374C08"/>
    <w:rsid w:val="00381F81"/>
    <w:rsid w:val="00387656"/>
    <w:rsid w:val="00397D36"/>
    <w:rsid w:val="003A04C4"/>
    <w:rsid w:val="003A04F2"/>
    <w:rsid w:val="003A297B"/>
    <w:rsid w:val="003A6898"/>
    <w:rsid w:val="003B0B2E"/>
    <w:rsid w:val="003B1999"/>
    <w:rsid w:val="003B4025"/>
    <w:rsid w:val="003B55CB"/>
    <w:rsid w:val="003B6535"/>
    <w:rsid w:val="003C53BA"/>
    <w:rsid w:val="003C5A9D"/>
    <w:rsid w:val="003C5AD8"/>
    <w:rsid w:val="003D119C"/>
    <w:rsid w:val="003D7960"/>
    <w:rsid w:val="003E2E83"/>
    <w:rsid w:val="003E3A3E"/>
    <w:rsid w:val="003E5B67"/>
    <w:rsid w:val="003F664D"/>
    <w:rsid w:val="0040159A"/>
    <w:rsid w:val="00401EB7"/>
    <w:rsid w:val="0040479B"/>
    <w:rsid w:val="00413138"/>
    <w:rsid w:val="00422BEA"/>
    <w:rsid w:val="00437B4D"/>
    <w:rsid w:val="00445C9A"/>
    <w:rsid w:val="00447AAC"/>
    <w:rsid w:val="0045008E"/>
    <w:rsid w:val="00453AA5"/>
    <w:rsid w:val="00454258"/>
    <w:rsid w:val="004558D2"/>
    <w:rsid w:val="00467797"/>
    <w:rsid w:val="00467A6E"/>
    <w:rsid w:val="004704D1"/>
    <w:rsid w:val="004729E5"/>
    <w:rsid w:val="00473719"/>
    <w:rsid w:val="004756BF"/>
    <w:rsid w:val="00475EB3"/>
    <w:rsid w:val="00481927"/>
    <w:rsid w:val="00482F61"/>
    <w:rsid w:val="00485941"/>
    <w:rsid w:val="00485D18"/>
    <w:rsid w:val="004B167F"/>
    <w:rsid w:val="004B31AA"/>
    <w:rsid w:val="004C06A7"/>
    <w:rsid w:val="004C0AF5"/>
    <w:rsid w:val="004C4DCA"/>
    <w:rsid w:val="004C5698"/>
    <w:rsid w:val="004D3CD2"/>
    <w:rsid w:val="004D3D86"/>
    <w:rsid w:val="004D6659"/>
    <w:rsid w:val="004D7CCA"/>
    <w:rsid w:val="004E3813"/>
    <w:rsid w:val="004E6B3D"/>
    <w:rsid w:val="004E7590"/>
    <w:rsid w:val="004E7A28"/>
    <w:rsid w:val="004F7A65"/>
    <w:rsid w:val="00500513"/>
    <w:rsid w:val="00505367"/>
    <w:rsid w:val="0051365C"/>
    <w:rsid w:val="0052025A"/>
    <w:rsid w:val="00520D5F"/>
    <w:rsid w:val="00521D92"/>
    <w:rsid w:val="00527F20"/>
    <w:rsid w:val="005327D1"/>
    <w:rsid w:val="005346ED"/>
    <w:rsid w:val="00534896"/>
    <w:rsid w:val="00542AF6"/>
    <w:rsid w:val="0054446F"/>
    <w:rsid w:val="00544ACE"/>
    <w:rsid w:val="00551BF3"/>
    <w:rsid w:val="00552B84"/>
    <w:rsid w:val="00552ED1"/>
    <w:rsid w:val="0055567C"/>
    <w:rsid w:val="005576C9"/>
    <w:rsid w:val="005705C1"/>
    <w:rsid w:val="0057193F"/>
    <w:rsid w:val="005719D7"/>
    <w:rsid w:val="0057622E"/>
    <w:rsid w:val="0058191D"/>
    <w:rsid w:val="0058401B"/>
    <w:rsid w:val="00586176"/>
    <w:rsid w:val="00586466"/>
    <w:rsid w:val="0059498C"/>
    <w:rsid w:val="005954B4"/>
    <w:rsid w:val="005A051E"/>
    <w:rsid w:val="005A0EB3"/>
    <w:rsid w:val="005A1C35"/>
    <w:rsid w:val="005B1FEC"/>
    <w:rsid w:val="005B29F7"/>
    <w:rsid w:val="005B3420"/>
    <w:rsid w:val="005B3D06"/>
    <w:rsid w:val="005B55AF"/>
    <w:rsid w:val="005C531F"/>
    <w:rsid w:val="005C599B"/>
    <w:rsid w:val="005D4FE9"/>
    <w:rsid w:val="005D5144"/>
    <w:rsid w:val="005D79F8"/>
    <w:rsid w:val="005E142B"/>
    <w:rsid w:val="005E62EE"/>
    <w:rsid w:val="00601234"/>
    <w:rsid w:val="00605DA9"/>
    <w:rsid w:val="00607075"/>
    <w:rsid w:val="006151ED"/>
    <w:rsid w:val="006204FB"/>
    <w:rsid w:val="00621C5E"/>
    <w:rsid w:val="0062204E"/>
    <w:rsid w:val="006244F9"/>
    <w:rsid w:val="0062601B"/>
    <w:rsid w:val="006321D7"/>
    <w:rsid w:val="00633A00"/>
    <w:rsid w:val="00634E44"/>
    <w:rsid w:val="006367E1"/>
    <w:rsid w:val="00644450"/>
    <w:rsid w:val="0065292B"/>
    <w:rsid w:val="0065422C"/>
    <w:rsid w:val="006552CE"/>
    <w:rsid w:val="00655336"/>
    <w:rsid w:val="00657433"/>
    <w:rsid w:val="00671693"/>
    <w:rsid w:val="006730EC"/>
    <w:rsid w:val="006731A1"/>
    <w:rsid w:val="00674D9D"/>
    <w:rsid w:val="00682522"/>
    <w:rsid w:val="00686878"/>
    <w:rsid w:val="00696965"/>
    <w:rsid w:val="0069726C"/>
    <w:rsid w:val="006A3472"/>
    <w:rsid w:val="006A485B"/>
    <w:rsid w:val="006B5FAF"/>
    <w:rsid w:val="006B7131"/>
    <w:rsid w:val="006C25D1"/>
    <w:rsid w:val="006D1FCD"/>
    <w:rsid w:val="006D2BC9"/>
    <w:rsid w:val="006D522C"/>
    <w:rsid w:val="006E0DD7"/>
    <w:rsid w:val="006E2838"/>
    <w:rsid w:val="006E49E5"/>
    <w:rsid w:val="00704E7C"/>
    <w:rsid w:val="00715227"/>
    <w:rsid w:val="00716953"/>
    <w:rsid w:val="00716F83"/>
    <w:rsid w:val="00717984"/>
    <w:rsid w:val="00721AF9"/>
    <w:rsid w:val="0072412D"/>
    <w:rsid w:val="00741FFB"/>
    <w:rsid w:val="00745F11"/>
    <w:rsid w:val="00752ADA"/>
    <w:rsid w:val="00756547"/>
    <w:rsid w:val="00764D89"/>
    <w:rsid w:val="00765002"/>
    <w:rsid w:val="00765233"/>
    <w:rsid w:val="00766086"/>
    <w:rsid w:val="00770029"/>
    <w:rsid w:val="00771990"/>
    <w:rsid w:val="007751B6"/>
    <w:rsid w:val="007751F7"/>
    <w:rsid w:val="0077534E"/>
    <w:rsid w:val="00777225"/>
    <w:rsid w:val="00777858"/>
    <w:rsid w:val="00777E72"/>
    <w:rsid w:val="00784241"/>
    <w:rsid w:val="00790D6D"/>
    <w:rsid w:val="00790D76"/>
    <w:rsid w:val="007920AA"/>
    <w:rsid w:val="00794601"/>
    <w:rsid w:val="00794E01"/>
    <w:rsid w:val="007A1D95"/>
    <w:rsid w:val="007A4A9F"/>
    <w:rsid w:val="007A4D2A"/>
    <w:rsid w:val="007B4ABB"/>
    <w:rsid w:val="007B646A"/>
    <w:rsid w:val="007C468A"/>
    <w:rsid w:val="007D07FB"/>
    <w:rsid w:val="007D1857"/>
    <w:rsid w:val="007E2FC9"/>
    <w:rsid w:val="007E549A"/>
    <w:rsid w:val="007F175C"/>
    <w:rsid w:val="008006BA"/>
    <w:rsid w:val="00801524"/>
    <w:rsid w:val="00804318"/>
    <w:rsid w:val="00805BF6"/>
    <w:rsid w:val="00811570"/>
    <w:rsid w:val="008158E2"/>
    <w:rsid w:val="0081749F"/>
    <w:rsid w:val="00823E7A"/>
    <w:rsid w:val="008277CD"/>
    <w:rsid w:val="008324DB"/>
    <w:rsid w:val="008328E9"/>
    <w:rsid w:val="00844172"/>
    <w:rsid w:val="008516D9"/>
    <w:rsid w:val="008552C2"/>
    <w:rsid w:val="00855D60"/>
    <w:rsid w:val="0086275B"/>
    <w:rsid w:val="00863B49"/>
    <w:rsid w:val="008654B8"/>
    <w:rsid w:val="00866BA2"/>
    <w:rsid w:val="00867C62"/>
    <w:rsid w:val="008706F3"/>
    <w:rsid w:val="00873DAD"/>
    <w:rsid w:val="0087559F"/>
    <w:rsid w:val="00891A9A"/>
    <w:rsid w:val="008A0BF5"/>
    <w:rsid w:val="008A4476"/>
    <w:rsid w:val="008A4CE8"/>
    <w:rsid w:val="008A70DD"/>
    <w:rsid w:val="008B46F6"/>
    <w:rsid w:val="008B6110"/>
    <w:rsid w:val="008D40B6"/>
    <w:rsid w:val="008D4E85"/>
    <w:rsid w:val="008D5489"/>
    <w:rsid w:val="008E009F"/>
    <w:rsid w:val="008F03A8"/>
    <w:rsid w:val="008F0A8D"/>
    <w:rsid w:val="008F0CFD"/>
    <w:rsid w:val="008F32C3"/>
    <w:rsid w:val="009008CD"/>
    <w:rsid w:val="00906A3A"/>
    <w:rsid w:val="009077A1"/>
    <w:rsid w:val="00914DD2"/>
    <w:rsid w:val="00915700"/>
    <w:rsid w:val="00916E48"/>
    <w:rsid w:val="009233F7"/>
    <w:rsid w:val="00923B9C"/>
    <w:rsid w:val="00932B7D"/>
    <w:rsid w:val="00934B0B"/>
    <w:rsid w:val="009438D6"/>
    <w:rsid w:val="00944268"/>
    <w:rsid w:val="00946134"/>
    <w:rsid w:val="00950369"/>
    <w:rsid w:val="00953C2A"/>
    <w:rsid w:val="00953D8D"/>
    <w:rsid w:val="00962697"/>
    <w:rsid w:val="0096400F"/>
    <w:rsid w:val="009654A1"/>
    <w:rsid w:val="00970500"/>
    <w:rsid w:val="00972DC4"/>
    <w:rsid w:val="00973D23"/>
    <w:rsid w:val="00974C79"/>
    <w:rsid w:val="009753A4"/>
    <w:rsid w:val="00977EBA"/>
    <w:rsid w:val="00982E6A"/>
    <w:rsid w:val="009938FB"/>
    <w:rsid w:val="00997624"/>
    <w:rsid w:val="009979A7"/>
    <w:rsid w:val="009A1784"/>
    <w:rsid w:val="009A52AB"/>
    <w:rsid w:val="009B4ED6"/>
    <w:rsid w:val="009B599F"/>
    <w:rsid w:val="009B7DEF"/>
    <w:rsid w:val="009C1A45"/>
    <w:rsid w:val="009D34B1"/>
    <w:rsid w:val="009D4987"/>
    <w:rsid w:val="009D63FE"/>
    <w:rsid w:val="009E44B8"/>
    <w:rsid w:val="009E6190"/>
    <w:rsid w:val="009F47F5"/>
    <w:rsid w:val="009F5273"/>
    <w:rsid w:val="00A014AF"/>
    <w:rsid w:val="00A06D79"/>
    <w:rsid w:val="00A110E3"/>
    <w:rsid w:val="00A112F2"/>
    <w:rsid w:val="00A15466"/>
    <w:rsid w:val="00A17E8B"/>
    <w:rsid w:val="00A20179"/>
    <w:rsid w:val="00A20F16"/>
    <w:rsid w:val="00A20F37"/>
    <w:rsid w:val="00A2436E"/>
    <w:rsid w:val="00A25ECA"/>
    <w:rsid w:val="00A26BF1"/>
    <w:rsid w:val="00A32A19"/>
    <w:rsid w:val="00A35F29"/>
    <w:rsid w:val="00A41952"/>
    <w:rsid w:val="00A423C1"/>
    <w:rsid w:val="00A473A1"/>
    <w:rsid w:val="00A51D66"/>
    <w:rsid w:val="00A56751"/>
    <w:rsid w:val="00A57D3D"/>
    <w:rsid w:val="00A60908"/>
    <w:rsid w:val="00A60E23"/>
    <w:rsid w:val="00A66A7D"/>
    <w:rsid w:val="00A66B84"/>
    <w:rsid w:val="00A73B0A"/>
    <w:rsid w:val="00A75883"/>
    <w:rsid w:val="00A806CF"/>
    <w:rsid w:val="00A81963"/>
    <w:rsid w:val="00A81E24"/>
    <w:rsid w:val="00A82D74"/>
    <w:rsid w:val="00A8446A"/>
    <w:rsid w:val="00A84958"/>
    <w:rsid w:val="00A86466"/>
    <w:rsid w:val="00A87A75"/>
    <w:rsid w:val="00A9428D"/>
    <w:rsid w:val="00A95D17"/>
    <w:rsid w:val="00A95DD3"/>
    <w:rsid w:val="00AB0E93"/>
    <w:rsid w:val="00AB10B9"/>
    <w:rsid w:val="00AB244B"/>
    <w:rsid w:val="00AB307F"/>
    <w:rsid w:val="00AB4890"/>
    <w:rsid w:val="00AC08A2"/>
    <w:rsid w:val="00AC12BE"/>
    <w:rsid w:val="00AC2559"/>
    <w:rsid w:val="00AC2917"/>
    <w:rsid w:val="00AD1410"/>
    <w:rsid w:val="00AD53FA"/>
    <w:rsid w:val="00AE0360"/>
    <w:rsid w:val="00AE105A"/>
    <w:rsid w:val="00AE761C"/>
    <w:rsid w:val="00AE7AA1"/>
    <w:rsid w:val="00AF0729"/>
    <w:rsid w:val="00AF67B0"/>
    <w:rsid w:val="00B05358"/>
    <w:rsid w:val="00B0540D"/>
    <w:rsid w:val="00B11772"/>
    <w:rsid w:val="00B21475"/>
    <w:rsid w:val="00B22858"/>
    <w:rsid w:val="00B22913"/>
    <w:rsid w:val="00B2352D"/>
    <w:rsid w:val="00B23A47"/>
    <w:rsid w:val="00B27CD0"/>
    <w:rsid w:val="00B30AD0"/>
    <w:rsid w:val="00B3273B"/>
    <w:rsid w:val="00B3334A"/>
    <w:rsid w:val="00B37254"/>
    <w:rsid w:val="00B40D59"/>
    <w:rsid w:val="00B423D1"/>
    <w:rsid w:val="00B433D2"/>
    <w:rsid w:val="00B4439E"/>
    <w:rsid w:val="00B52667"/>
    <w:rsid w:val="00B5314A"/>
    <w:rsid w:val="00B54DA9"/>
    <w:rsid w:val="00B62AC2"/>
    <w:rsid w:val="00B64157"/>
    <w:rsid w:val="00B715A4"/>
    <w:rsid w:val="00B73512"/>
    <w:rsid w:val="00B84276"/>
    <w:rsid w:val="00B869B5"/>
    <w:rsid w:val="00B92B9F"/>
    <w:rsid w:val="00B92E5B"/>
    <w:rsid w:val="00B967EB"/>
    <w:rsid w:val="00BA1E9A"/>
    <w:rsid w:val="00BA2C6E"/>
    <w:rsid w:val="00BA4DD4"/>
    <w:rsid w:val="00BB611F"/>
    <w:rsid w:val="00BB6691"/>
    <w:rsid w:val="00BB6B84"/>
    <w:rsid w:val="00BB6FCB"/>
    <w:rsid w:val="00BB7365"/>
    <w:rsid w:val="00BC1F05"/>
    <w:rsid w:val="00BC50C0"/>
    <w:rsid w:val="00BC5FA5"/>
    <w:rsid w:val="00BD0865"/>
    <w:rsid w:val="00BD2246"/>
    <w:rsid w:val="00BD4D11"/>
    <w:rsid w:val="00BD4D12"/>
    <w:rsid w:val="00BE1732"/>
    <w:rsid w:val="00BE6F7C"/>
    <w:rsid w:val="00BF26F7"/>
    <w:rsid w:val="00BF39F9"/>
    <w:rsid w:val="00C0399A"/>
    <w:rsid w:val="00C04B12"/>
    <w:rsid w:val="00C10327"/>
    <w:rsid w:val="00C111D5"/>
    <w:rsid w:val="00C16213"/>
    <w:rsid w:val="00C20A1C"/>
    <w:rsid w:val="00C23C2E"/>
    <w:rsid w:val="00C31033"/>
    <w:rsid w:val="00C32A98"/>
    <w:rsid w:val="00C33D15"/>
    <w:rsid w:val="00C34BB3"/>
    <w:rsid w:val="00C34DE0"/>
    <w:rsid w:val="00C36965"/>
    <w:rsid w:val="00C429AE"/>
    <w:rsid w:val="00C45AF2"/>
    <w:rsid w:val="00C47125"/>
    <w:rsid w:val="00C50012"/>
    <w:rsid w:val="00C5039D"/>
    <w:rsid w:val="00C5055E"/>
    <w:rsid w:val="00C514B3"/>
    <w:rsid w:val="00C53FE5"/>
    <w:rsid w:val="00C54460"/>
    <w:rsid w:val="00C556C8"/>
    <w:rsid w:val="00C56D7C"/>
    <w:rsid w:val="00C6447C"/>
    <w:rsid w:val="00C73FAC"/>
    <w:rsid w:val="00C74A46"/>
    <w:rsid w:val="00C7609C"/>
    <w:rsid w:val="00C80150"/>
    <w:rsid w:val="00C813A8"/>
    <w:rsid w:val="00C819BD"/>
    <w:rsid w:val="00C84918"/>
    <w:rsid w:val="00C90410"/>
    <w:rsid w:val="00C92DB3"/>
    <w:rsid w:val="00C93737"/>
    <w:rsid w:val="00C9496B"/>
    <w:rsid w:val="00C97E87"/>
    <w:rsid w:val="00CA3493"/>
    <w:rsid w:val="00CB255D"/>
    <w:rsid w:val="00CB5704"/>
    <w:rsid w:val="00CB6281"/>
    <w:rsid w:val="00CB6F1F"/>
    <w:rsid w:val="00CC1482"/>
    <w:rsid w:val="00CC276E"/>
    <w:rsid w:val="00CD1BC0"/>
    <w:rsid w:val="00CD34E8"/>
    <w:rsid w:val="00CD7F51"/>
    <w:rsid w:val="00CE0262"/>
    <w:rsid w:val="00CE1A8B"/>
    <w:rsid w:val="00CE2E69"/>
    <w:rsid w:val="00CF22BD"/>
    <w:rsid w:val="00CF2FC4"/>
    <w:rsid w:val="00CF3D61"/>
    <w:rsid w:val="00CF589D"/>
    <w:rsid w:val="00D005FA"/>
    <w:rsid w:val="00D0149F"/>
    <w:rsid w:val="00D01E7A"/>
    <w:rsid w:val="00D025FF"/>
    <w:rsid w:val="00D032B1"/>
    <w:rsid w:val="00D13CFC"/>
    <w:rsid w:val="00D14BF9"/>
    <w:rsid w:val="00D16DB3"/>
    <w:rsid w:val="00D2317F"/>
    <w:rsid w:val="00D25635"/>
    <w:rsid w:val="00D25F88"/>
    <w:rsid w:val="00D26018"/>
    <w:rsid w:val="00D27734"/>
    <w:rsid w:val="00D279F0"/>
    <w:rsid w:val="00D313BA"/>
    <w:rsid w:val="00D437AF"/>
    <w:rsid w:val="00D4790E"/>
    <w:rsid w:val="00D544A6"/>
    <w:rsid w:val="00D55C5F"/>
    <w:rsid w:val="00D56E24"/>
    <w:rsid w:val="00D57D53"/>
    <w:rsid w:val="00D622DF"/>
    <w:rsid w:val="00D64468"/>
    <w:rsid w:val="00D66855"/>
    <w:rsid w:val="00D67C7B"/>
    <w:rsid w:val="00D73775"/>
    <w:rsid w:val="00D86EA9"/>
    <w:rsid w:val="00D8760E"/>
    <w:rsid w:val="00D87ABE"/>
    <w:rsid w:val="00D93FA3"/>
    <w:rsid w:val="00D95FE8"/>
    <w:rsid w:val="00DA6C04"/>
    <w:rsid w:val="00DA7194"/>
    <w:rsid w:val="00DA7200"/>
    <w:rsid w:val="00DA7CE7"/>
    <w:rsid w:val="00DB26F8"/>
    <w:rsid w:val="00DC384C"/>
    <w:rsid w:val="00DC7196"/>
    <w:rsid w:val="00DD6B97"/>
    <w:rsid w:val="00DE23BB"/>
    <w:rsid w:val="00DE58F3"/>
    <w:rsid w:val="00DE6656"/>
    <w:rsid w:val="00DF02A3"/>
    <w:rsid w:val="00DF048A"/>
    <w:rsid w:val="00DF4F4F"/>
    <w:rsid w:val="00E0022A"/>
    <w:rsid w:val="00E02E3D"/>
    <w:rsid w:val="00E12D4A"/>
    <w:rsid w:val="00E15851"/>
    <w:rsid w:val="00E221A3"/>
    <w:rsid w:val="00E242D2"/>
    <w:rsid w:val="00E27097"/>
    <w:rsid w:val="00E278DD"/>
    <w:rsid w:val="00E34A2D"/>
    <w:rsid w:val="00E37377"/>
    <w:rsid w:val="00E37415"/>
    <w:rsid w:val="00E44063"/>
    <w:rsid w:val="00E63E1C"/>
    <w:rsid w:val="00E67A53"/>
    <w:rsid w:val="00E7651C"/>
    <w:rsid w:val="00E76CC6"/>
    <w:rsid w:val="00E77A3A"/>
    <w:rsid w:val="00E8037B"/>
    <w:rsid w:val="00E80BCE"/>
    <w:rsid w:val="00E80E3A"/>
    <w:rsid w:val="00E816E7"/>
    <w:rsid w:val="00E86979"/>
    <w:rsid w:val="00E907D7"/>
    <w:rsid w:val="00E97A2B"/>
    <w:rsid w:val="00EA470A"/>
    <w:rsid w:val="00EB7530"/>
    <w:rsid w:val="00EC0092"/>
    <w:rsid w:val="00EC3C59"/>
    <w:rsid w:val="00EC4830"/>
    <w:rsid w:val="00EC525A"/>
    <w:rsid w:val="00ED0E5D"/>
    <w:rsid w:val="00ED56A6"/>
    <w:rsid w:val="00EE015E"/>
    <w:rsid w:val="00EE4205"/>
    <w:rsid w:val="00EE49F9"/>
    <w:rsid w:val="00EE566D"/>
    <w:rsid w:val="00EE60C7"/>
    <w:rsid w:val="00EE6351"/>
    <w:rsid w:val="00EE7CE3"/>
    <w:rsid w:val="00EF3599"/>
    <w:rsid w:val="00EF3686"/>
    <w:rsid w:val="00EF3B14"/>
    <w:rsid w:val="00F051BE"/>
    <w:rsid w:val="00F05230"/>
    <w:rsid w:val="00F05B2B"/>
    <w:rsid w:val="00F120E9"/>
    <w:rsid w:val="00F211E9"/>
    <w:rsid w:val="00F2173A"/>
    <w:rsid w:val="00F229B4"/>
    <w:rsid w:val="00F22C13"/>
    <w:rsid w:val="00F24B15"/>
    <w:rsid w:val="00F26F03"/>
    <w:rsid w:val="00F310E2"/>
    <w:rsid w:val="00F32413"/>
    <w:rsid w:val="00F468DE"/>
    <w:rsid w:val="00F5368E"/>
    <w:rsid w:val="00F53A3A"/>
    <w:rsid w:val="00F54FE7"/>
    <w:rsid w:val="00F579EF"/>
    <w:rsid w:val="00F61734"/>
    <w:rsid w:val="00F724F9"/>
    <w:rsid w:val="00F7487B"/>
    <w:rsid w:val="00F75D83"/>
    <w:rsid w:val="00F80C36"/>
    <w:rsid w:val="00F8495D"/>
    <w:rsid w:val="00F850B2"/>
    <w:rsid w:val="00F902D1"/>
    <w:rsid w:val="00F90462"/>
    <w:rsid w:val="00F914B9"/>
    <w:rsid w:val="00F9534F"/>
    <w:rsid w:val="00F959FF"/>
    <w:rsid w:val="00FA085B"/>
    <w:rsid w:val="00FA3FD3"/>
    <w:rsid w:val="00FB3052"/>
    <w:rsid w:val="00FC1498"/>
    <w:rsid w:val="00FC5636"/>
    <w:rsid w:val="00FD1C55"/>
    <w:rsid w:val="00FD290E"/>
    <w:rsid w:val="00FD45A1"/>
    <w:rsid w:val="00FD481D"/>
    <w:rsid w:val="00FE0F87"/>
    <w:rsid w:val="00FE17A3"/>
    <w:rsid w:val="00FE19A4"/>
    <w:rsid w:val="00FE1B3F"/>
    <w:rsid w:val="00FE5BD1"/>
    <w:rsid w:val="00FF1F0D"/>
    <w:rsid w:val="00FF2DA8"/>
    <w:rsid w:val="00FF575F"/>
    <w:rsid w:val="00FF5C23"/>
    <w:rsid w:val="00FF6457"/>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b/>
        <w:bCs/>
        <w:w w:val="113"/>
        <w:szCs w:val="24"/>
        <w:u w:val="single"/>
        <w:lang w:val="pt-B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CFB"/>
    <w:pPr>
      <w:suppressAutoHyphens/>
      <w:spacing w:line="240" w:lineRule="auto"/>
    </w:pPr>
    <w:rPr>
      <w:rFonts w:eastAsia="Times New Roman"/>
      <w:b w:val="0"/>
      <w:bCs w:val="0"/>
      <w:color w:val="00000A"/>
      <w:w w:val="100"/>
      <w:sz w:val="24"/>
      <w:szCs w:val="20"/>
      <w:u w:val="none"/>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rsid w:val="00040273"/>
    <w:rPr>
      <w:color w:val="0000FF"/>
      <w:u w:val="single"/>
    </w:rPr>
  </w:style>
  <w:style w:type="character" w:styleId="Forte">
    <w:name w:val="Strong"/>
    <w:basedOn w:val="Fontepargpadro"/>
    <w:qFormat/>
    <w:rsid w:val="009A6CFB"/>
    <w:rPr>
      <w:b/>
      <w:bCs/>
    </w:rPr>
  </w:style>
  <w:style w:type="character" w:customStyle="1" w:styleId="Caracteresdenotaderodap">
    <w:name w:val="Caracteres de nota de rodapé"/>
    <w:basedOn w:val="Fontepargpadro"/>
    <w:qFormat/>
    <w:rsid w:val="009A6CFB"/>
    <w:rPr>
      <w:vertAlign w:val="superscript"/>
    </w:rPr>
  </w:style>
  <w:style w:type="character" w:customStyle="1" w:styleId="ncoradanotaderodap">
    <w:name w:val="Âncora da nota de rodapé"/>
    <w:rsid w:val="009A6CFB"/>
    <w:rPr>
      <w:vertAlign w:val="superscript"/>
    </w:rPr>
  </w:style>
  <w:style w:type="character" w:customStyle="1" w:styleId="CorpodetextoChar">
    <w:name w:val="Corpo de texto Char"/>
    <w:basedOn w:val="Fontepargpadro"/>
    <w:link w:val="Corpodetexto"/>
    <w:qFormat/>
    <w:rsid w:val="009A6CFB"/>
    <w:rPr>
      <w:rFonts w:eastAsia="Times New Roman"/>
      <w:b w:val="0"/>
      <w:bCs w:val="0"/>
      <w:color w:val="00000A"/>
      <w:w w:val="100"/>
      <w:u w:val="none"/>
      <w:lang w:eastAsia="zh-CN"/>
    </w:rPr>
  </w:style>
  <w:style w:type="character" w:customStyle="1" w:styleId="CabealhoChar">
    <w:name w:val="Cabeçalho Char"/>
    <w:basedOn w:val="Fontepargpadro"/>
    <w:link w:val="Cabealho"/>
    <w:qFormat/>
    <w:rsid w:val="009A6CFB"/>
    <w:rPr>
      <w:rFonts w:eastAsia="Times New Roman"/>
      <w:b w:val="0"/>
      <w:bCs w:val="0"/>
      <w:color w:val="00000A"/>
      <w:w w:val="100"/>
      <w:szCs w:val="20"/>
      <w:u w:val="none"/>
      <w:lang w:eastAsia="zh-CN"/>
    </w:rPr>
  </w:style>
  <w:style w:type="character" w:customStyle="1" w:styleId="RodapChar">
    <w:name w:val="Rodapé Char"/>
    <w:basedOn w:val="Fontepargpadro"/>
    <w:link w:val="Rodap"/>
    <w:qFormat/>
    <w:rsid w:val="009A6CFB"/>
    <w:rPr>
      <w:rFonts w:eastAsia="Times New Roman"/>
      <w:b w:val="0"/>
      <w:bCs w:val="0"/>
      <w:color w:val="00000A"/>
      <w:w w:val="100"/>
      <w:szCs w:val="20"/>
      <w:u w:val="none"/>
      <w:lang w:eastAsia="zh-CN"/>
    </w:rPr>
  </w:style>
  <w:style w:type="character" w:customStyle="1" w:styleId="TextodenotaderodapChar">
    <w:name w:val="Texto de nota de rodapé Char"/>
    <w:basedOn w:val="Fontepargpadro"/>
    <w:link w:val="Textodenotaderodap"/>
    <w:qFormat/>
    <w:rsid w:val="009A6CFB"/>
    <w:rPr>
      <w:rFonts w:ascii="Arial" w:eastAsia="MS Mincho" w:hAnsi="Arial" w:cs="Arial"/>
      <w:bCs w:val="0"/>
      <w:color w:val="00000A"/>
      <w:w w:val="100"/>
      <w:sz w:val="20"/>
      <w:szCs w:val="20"/>
      <w:u w:val="none"/>
      <w:lang w:eastAsia="zh-CN"/>
    </w:rPr>
  </w:style>
  <w:style w:type="character" w:customStyle="1" w:styleId="WW8Num8z0">
    <w:name w:val="WW8Num8z0"/>
    <w:qFormat/>
    <w:rsid w:val="00040273"/>
    <w:rPr>
      <w:i w:val="0"/>
    </w:rPr>
  </w:style>
  <w:style w:type="character" w:customStyle="1" w:styleId="ncoradanotadefim">
    <w:name w:val="Âncora da nota de fim"/>
    <w:rsid w:val="00A45A45"/>
    <w:rPr>
      <w:vertAlign w:val="superscript"/>
    </w:rPr>
  </w:style>
  <w:style w:type="character" w:customStyle="1" w:styleId="Caracteresdenotadefim">
    <w:name w:val="Caracteres de nota de fim"/>
    <w:qFormat/>
    <w:rsid w:val="00A45A45"/>
  </w:style>
  <w:style w:type="paragraph" w:styleId="Ttulo">
    <w:name w:val="Title"/>
    <w:basedOn w:val="Normal"/>
    <w:next w:val="Corpodetexto"/>
    <w:qFormat/>
    <w:rsid w:val="00DF4F4F"/>
    <w:pPr>
      <w:keepNext/>
      <w:spacing w:before="240" w:after="120"/>
    </w:pPr>
    <w:rPr>
      <w:rFonts w:ascii="Liberation Sans" w:eastAsia="Microsoft YaHei" w:hAnsi="Liberation Sans" w:cs="Mangal"/>
      <w:sz w:val="28"/>
      <w:szCs w:val="28"/>
    </w:rPr>
  </w:style>
  <w:style w:type="paragraph" w:styleId="Corpodetexto">
    <w:name w:val="Body Text"/>
    <w:basedOn w:val="Normal"/>
    <w:link w:val="CorpodetextoChar"/>
    <w:rsid w:val="009A6CFB"/>
    <w:pPr>
      <w:spacing w:after="120"/>
    </w:pPr>
    <w:rPr>
      <w:szCs w:val="24"/>
    </w:rPr>
  </w:style>
  <w:style w:type="paragraph" w:styleId="Lista">
    <w:name w:val="List"/>
    <w:basedOn w:val="Corpodetexto"/>
    <w:rsid w:val="00A45A45"/>
    <w:rPr>
      <w:rFonts w:cs="Mangal"/>
    </w:rPr>
  </w:style>
  <w:style w:type="paragraph" w:styleId="Legenda">
    <w:name w:val="caption"/>
    <w:basedOn w:val="Normal"/>
    <w:qFormat/>
    <w:rsid w:val="00A45A45"/>
    <w:pPr>
      <w:suppressLineNumbers/>
      <w:spacing w:before="120" w:after="120"/>
    </w:pPr>
    <w:rPr>
      <w:rFonts w:cs="Mangal"/>
      <w:i/>
      <w:iCs/>
      <w:szCs w:val="24"/>
    </w:rPr>
  </w:style>
  <w:style w:type="paragraph" w:customStyle="1" w:styleId="ndice">
    <w:name w:val="Índice"/>
    <w:basedOn w:val="Normal"/>
    <w:qFormat/>
    <w:rsid w:val="00A45A45"/>
    <w:pPr>
      <w:suppressLineNumbers/>
    </w:pPr>
    <w:rPr>
      <w:rFonts w:cs="Mangal"/>
    </w:rPr>
  </w:style>
  <w:style w:type="paragraph" w:customStyle="1" w:styleId="Ttulododocumento">
    <w:name w:val="Título do documento"/>
    <w:basedOn w:val="Normal"/>
    <w:qFormat/>
    <w:rsid w:val="00A45A45"/>
    <w:pPr>
      <w:keepNext/>
      <w:spacing w:before="240" w:after="120"/>
    </w:pPr>
    <w:rPr>
      <w:rFonts w:ascii="Liberation Sans" w:eastAsia="Microsoft YaHei" w:hAnsi="Liberation Sans" w:cs="Mangal"/>
      <w:sz w:val="28"/>
      <w:szCs w:val="28"/>
    </w:rPr>
  </w:style>
  <w:style w:type="paragraph" w:styleId="Cabealho">
    <w:name w:val="header"/>
    <w:basedOn w:val="Normal"/>
    <w:link w:val="CabealhoChar"/>
    <w:rsid w:val="009A6CFB"/>
  </w:style>
  <w:style w:type="paragraph" w:styleId="Rodap">
    <w:name w:val="footer"/>
    <w:basedOn w:val="Normal"/>
    <w:link w:val="RodapChar"/>
    <w:rsid w:val="009A6CFB"/>
  </w:style>
  <w:style w:type="paragraph" w:styleId="NormalWeb">
    <w:name w:val="Normal (Web)"/>
    <w:basedOn w:val="Normal"/>
    <w:uiPriority w:val="99"/>
    <w:qFormat/>
    <w:rsid w:val="009A6CFB"/>
    <w:pPr>
      <w:spacing w:before="280" w:after="280"/>
    </w:pPr>
    <w:rPr>
      <w:szCs w:val="24"/>
    </w:rPr>
  </w:style>
  <w:style w:type="paragraph" w:customStyle="1" w:styleId="western">
    <w:name w:val="western"/>
    <w:basedOn w:val="Normal"/>
    <w:qFormat/>
    <w:rsid w:val="009A6CFB"/>
    <w:pPr>
      <w:spacing w:before="100" w:line="360" w:lineRule="auto"/>
      <w:jc w:val="both"/>
      <w:textAlignment w:val="baseline"/>
    </w:pPr>
    <w:rPr>
      <w:rFonts w:ascii="Arial Unicode MS" w:eastAsia="Arial Unicode MS" w:hAnsi="Arial Unicode MS" w:cs="Arial Unicode MS"/>
      <w:szCs w:val="24"/>
    </w:rPr>
  </w:style>
  <w:style w:type="paragraph" w:styleId="Textodenotaderodap">
    <w:name w:val="footnote text"/>
    <w:basedOn w:val="Normal"/>
    <w:link w:val="TextodenotaderodapChar"/>
    <w:qFormat/>
    <w:rsid w:val="009A6CFB"/>
    <w:pPr>
      <w:spacing w:before="120" w:after="120" w:line="276" w:lineRule="auto"/>
      <w:ind w:firstLine="1418"/>
      <w:jc w:val="both"/>
    </w:pPr>
    <w:rPr>
      <w:rFonts w:ascii="Arial" w:eastAsia="MS Mincho" w:hAnsi="Arial" w:cs="Arial"/>
      <w:b/>
      <w:sz w:val="20"/>
    </w:rPr>
  </w:style>
  <w:style w:type="paragraph" w:customStyle="1" w:styleId="TituloPROCANAC">
    <w:name w:val="Titulo PROC ANAC"/>
    <w:basedOn w:val="Normal"/>
    <w:qFormat/>
    <w:rsid w:val="009A6CFB"/>
    <w:pPr>
      <w:tabs>
        <w:tab w:val="left" w:pos="0"/>
        <w:tab w:val="left" w:pos="1418"/>
      </w:tabs>
      <w:spacing w:before="360"/>
      <w:ind w:left="360" w:hanging="360"/>
      <w:jc w:val="both"/>
    </w:pPr>
    <w:rPr>
      <w:szCs w:val="24"/>
    </w:rPr>
  </w:style>
  <w:style w:type="paragraph" w:customStyle="1" w:styleId="WW-Corpodetexto2">
    <w:name w:val="WW-Corpo de texto 2"/>
    <w:basedOn w:val="Normal"/>
    <w:qFormat/>
    <w:rsid w:val="009A6CFB"/>
    <w:pPr>
      <w:jc w:val="both"/>
    </w:pPr>
    <w:rPr>
      <w:rFonts w:ascii="Arial" w:hAnsi="Arial" w:cs="Arial"/>
    </w:rPr>
  </w:style>
  <w:style w:type="paragraph" w:customStyle="1" w:styleId="textbody">
    <w:name w:val="textbody"/>
    <w:basedOn w:val="Normal"/>
    <w:qFormat/>
    <w:rsid w:val="009A6CFB"/>
    <w:pPr>
      <w:suppressAutoHyphens w:val="0"/>
      <w:spacing w:beforeAutospacing="1" w:afterAutospacing="1"/>
    </w:pPr>
    <w:rPr>
      <w:szCs w:val="24"/>
      <w:lang w:eastAsia="pt-BR"/>
    </w:rPr>
  </w:style>
  <w:style w:type="paragraph" w:customStyle="1" w:styleId="Notaderodap">
    <w:name w:val="Nota de rodapé"/>
    <w:basedOn w:val="Normal"/>
    <w:rsid w:val="00A45A45"/>
  </w:style>
  <w:style w:type="paragraph" w:customStyle="1" w:styleId="Contedodoquadro">
    <w:name w:val="Conteúdo do quadro"/>
    <w:basedOn w:val="Normal"/>
    <w:qFormat/>
    <w:rsid w:val="00A45A45"/>
  </w:style>
  <w:style w:type="character" w:styleId="Hyperlink">
    <w:name w:val="Hyperlink"/>
    <w:basedOn w:val="Fontepargpadro"/>
    <w:rsid w:val="00401EB7"/>
    <w:rPr>
      <w:color w:val="0000FF"/>
      <w:u w:val="single"/>
    </w:rPr>
  </w:style>
  <w:style w:type="character" w:styleId="Refdenotaderodap">
    <w:name w:val="footnote reference"/>
    <w:basedOn w:val="Fontepargpadro"/>
    <w:unhideWhenUsed/>
    <w:rsid w:val="00A86466"/>
    <w:rPr>
      <w:vertAlign w:val="superscript"/>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nj.jus.b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ortal2.tcu.gov.br/"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oleObject" Target="embeddings/oleObject1.bin"/><Relationship Id="rId1" Type="http://schemas.openxmlformats.org/officeDocument/2006/relationships/image" Target="media/image1.png"/><Relationship Id="rId6" Type="http://schemas.openxmlformats.org/officeDocument/2006/relationships/oleObject" Target="embeddings/oleObject3.bin"/><Relationship Id="rId5" Type="http://schemas.openxmlformats.org/officeDocument/2006/relationships/image" Target="media/image3.emf"/><Relationship Id="rId4" Type="http://schemas.openxmlformats.org/officeDocument/2006/relationships/oleObject" Target="embeddings/oleObject2.bin"/></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3AEFAA-19ED-41DA-ABB5-CF8CE94BB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21</Pages>
  <Words>5973</Words>
  <Characters>32258</Characters>
  <Application>Microsoft Office Word</Application>
  <DocSecurity>0</DocSecurity>
  <Lines>268</Lines>
  <Paragraphs>76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38155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lecticia.alcantara</dc:creator>
  <cp:lastModifiedBy>1881679</cp:lastModifiedBy>
  <cp:revision>3</cp:revision>
  <dcterms:created xsi:type="dcterms:W3CDTF">2017-07-18T20:44:00Z</dcterms:created>
  <dcterms:modified xsi:type="dcterms:W3CDTF">2018-08-03T17:29:00Z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