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3.png" ContentType="image/png"/>
  <Override PartName="/word/media/image1.jpeg" ContentType="image/jpeg"/>
  <Override PartName="/word/media/image2.jpeg" ContentType="image/jpe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95" w:type="dxa"/>
        <w:jc w:val="left"/>
        <w:tblInd w:w="-5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 w:type="dxa"/>
        </w:tblCellMar>
      </w:tblPr>
      <w:tblGrid>
        <w:gridCol w:w="3852"/>
        <w:gridCol w:w="5842"/>
      </w:tblGrid>
      <w:tr>
        <w:trPr>
          <w:trHeight w:val="771" w:hRule="atLeast"/>
        </w:trPr>
        <w:tc>
          <w:tcPr>
            <w:tcW w:w="96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009933" w:val="clear"/>
            <w:tcMar>
              <w:left w:w="-5" w:type="dxa"/>
            </w:tcMar>
            <w:vAlign w:val="center"/>
          </w:tcPr>
          <w:p>
            <w:pPr>
              <w:pStyle w:val="Padro"/>
              <w:ind w:left="0" w:right="16" w:hanging="0"/>
              <w:jc w:val="center"/>
              <w:rPr>
                <w:rFonts w:ascii="Times New Roman" w:hAnsi="Times New Roman" w:cs="Times New Roman"/>
                <w:b/>
                <w:b/>
                <w:bCs/>
                <w:color w:val="000000"/>
                <w:sz w:val="56"/>
                <w:szCs w:val="56"/>
              </w:rPr>
            </w:pPr>
            <w:r>
              <w:rPr>
                <w:rFonts w:cs="Times New Roman" w:ascii="Times New Roman" w:hAnsi="Times New Roman"/>
                <w:b/>
                <w:bCs/>
                <w:color w:val="000000"/>
                <w:sz w:val="56"/>
                <w:szCs w:val="56"/>
              </w:rPr>
              <w:t>IF SERTÃO-PE</w:t>
            </w:r>
          </w:p>
        </w:tc>
      </w:tr>
      <w:tr>
        <w:trPr>
          <w:trHeight w:val="474" w:hRule="atLeast"/>
        </w:trPr>
        <w:tc>
          <w:tcPr>
            <w:tcW w:w="96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before="0" w:after="0"/>
              <w:ind w:left="0" w:right="16" w:hanging="0"/>
              <w:jc w:val="center"/>
              <w:rPr/>
            </w:pPr>
            <w:r>
              <w:rPr>
                <w:rFonts w:cs="Bookman Old Style" w:ascii="Arial" w:hAnsi="Arial"/>
                <w:b/>
                <w:sz w:val="28"/>
                <w:szCs w:val="24"/>
              </w:rPr>
              <w:t xml:space="preserve"> </w:t>
            </w:r>
            <w:r>
              <w:rPr>
                <w:rFonts w:cs="Bookman Old Style" w:ascii="Arial" w:hAnsi="Arial"/>
                <w:b/>
                <w:sz w:val="28"/>
                <w:szCs w:val="24"/>
              </w:rPr>
              <w:t xml:space="preserve">PREGÃO ELETRÔNICO SRP </w:t>
            </w:r>
            <w:r>
              <w:rPr>
                <w:rFonts w:cs="Bookman Old Style" w:ascii="Arial" w:hAnsi="Arial"/>
                <w:b/>
                <w:sz w:val="28"/>
                <w:szCs w:val="24"/>
                <w:highlight w:val="yellow"/>
              </w:rPr>
              <w:t xml:space="preserve">N° </w:t>
            </w:r>
            <w:bookmarkStart w:id="0" w:name="__DdeLink__25155_132048477"/>
            <w:r>
              <w:rPr>
                <w:rFonts w:cs="Bookman Old Style" w:ascii="Arial" w:hAnsi="Arial"/>
                <w:b/>
                <w:sz w:val="28"/>
                <w:szCs w:val="24"/>
                <w:highlight w:val="yellow"/>
              </w:rPr>
              <w:t>0</w:t>
            </w:r>
            <w:bookmarkEnd w:id="0"/>
            <w:r>
              <w:rPr>
                <w:rFonts w:cs="Bookman Old Style" w:ascii="Arial" w:hAnsi="Arial"/>
                <w:b/>
                <w:sz w:val="28"/>
                <w:szCs w:val="24"/>
                <w:highlight w:val="yellow"/>
              </w:rPr>
              <w:t>1/2019</w:t>
            </w:r>
          </w:p>
        </w:tc>
      </w:tr>
      <w:tr>
        <w:trPr>
          <w:trHeight w:val="1187" w:hRule="atLeast"/>
        </w:trPr>
        <w:tc>
          <w:tcPr>
            <w:tcW w:w="96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spacing w:lineRule="auto" w:line="240"/>
              <w:ind w:left="0" w:right="544" w:hanging="0"/>
              <w:jc w:val="both"/>
              <w:rPr/>
            </w:pPr>
            <w:r>
              <w:rPr>
                <w:rFonts w:cs="Times New Roman" w:ascii="Times New Roman" w:hAnsi="Times New Roman"/>
                <w:b/>
              </w:rPr>
              <w:t xml:space="preserve">PREGÃO ELETRÔNICO PELO SISTEMA DE REGISTRO DE PREÇO Nº 01/2019  </w:t>
            </w:r>
            <w:r>
              <w:rPr>
                <w:rFonts w:cs="Times New Roman" w:ascii="Times New Roman" w:hAnsi="Times New Roman"/>
                <w:b/>
                <w:bCs/>
              </w:rPr>
              <w:t>HABILITAÇÃO SIMPLIFICADA E PARTICIPAÇÃO HÍBRIDA – ALGUNS GRUPOS EXCLUSIVOS PARA MICROEMPRESAS, EMPRESAS DE PEQUENO PORTE E COOPERATIVAS ENQUADRADAS NO ART. 34 DA LEI Nº 11.488/2007.</w:t>
            </w:r>
          </w:p>
        </w:tc>
      </w:tr>
      <w:tr>
        <w:trPr>
          <w:trHeight w:val="655" w:hRule="atLeast"/>
        </w:trPr>
        <w:tc>
          <w:tcPr>
            <w:tcW w:w="3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jc w:val="center"/>
              <w:rPr/>
            </w:pPr>
            <w:r>
              <w:rPr>
                <w:rFonts w:cs="Times New Roman" w:ascii="Times New Roman" w:hAnsi="Times New Roman"/>
                <w:b/>
              </w:rPr>
              <w:t>OBJETO</w:t>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76" w:before="120" w:after="120"/>
              <w:ind w:left="425" w:right="0" w:hanging="0"/>
              <w:jc w:val="both"/>
              <w:rPr>
                <w:rFonts w:ascii="Times New Roman" w:hAnsi="Times New Roman" w:eastAsia="Times New Roman" w:cs="Times New Roman"/>
                <w:b/>
                <w:b/>
                <w:bCs/>
                <w:color w:val="00000A"/>
                <w:sz w:val="24"/>
                <w:szCs w:val="24"/>
                <w:lang w:val="pt-BR" w:eastAsia="pt-BR" w:bidi="ar-SA"/>
              </w:rPr>
            </w:pPr>
            <w:r>
              <w:rPr>
                <w:rFonts w:eastAsia="Times New Roman" w:cs="Times New Roman" w:ascii="Times New Roman" w:hAnsi="Times New Roman"/>
                <w:b/>
                <w:bCs/>
                <w:i w:val="false"/>
                <w:iCs w:val="false"/>
                <w:color w:val="00000A"/>
                <w:sz w:val="24"/>
                <w:szCs w:val="24"/>
                <w:lang w:val="pt-BR" w:eastAsia="pt-BR" w:bidi="ar-SA"/>
              </w:rPr>
              <w:t>Aquisição de Gêneros Alimentícios para atender os campi e Reitoria do IF Sertão PE</w:t>
            </w:r>
          </w:p>
        </w:tc>
      </w:tr>
      <w:tr>
        <w:trPr>
          <w:trHeight w:val="751" w:hRule="atLeast"/>
        </w:trPr>
        <w:tc>
          <w:tcPr>
            <w:tcW w:w="96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Xl33"/>
              <w:spacing w:lineRule="auto" w:line="240" w:before="0" w:after="12"/>
              <w:rPr>
                <w:rFonts w:ascii="Times New Roman" w:hAnsi="Times New Roman" w:eastAsia="Times New Roman" w:cs="Times New Roman"/>
                <w:sz w:val="24"/>
                <w:szCs w:val="24"/>
              </w:rPr>
            </w:pPr>
            <w:r>
              <w:rPr>
                <w:rFonts w:eastAsia="Times New Roman" w:cs="Times New Roman" w:ascii="Times New Roman" w:hAnsi="Times New Roman"/>
                <w:sz w:val="24"/>
                <w:szCs w:val="24"/>
              </w:rPr>
              <w:t>PREGÃO ELETRÔNICO PELO SISTEMA DE REGISTRO DE PREÇO</w:t>
            </w:r>
          </w:p>
          <w:p>
            <w:pPr>
              <w:pStyle w:val="Padro"/>
              <w:spacing w:lineRule="auto" w:line="240"/>
              <w:jc w:val="center"/>
              <w:rPr>
                <w:rFonts w:ascii="Times New Roman" w:hAnsi="Times New Roman" w:cs="Times New Roman"/>
                <w:b/>
                <w:b/>
                <w:bCs/>
              </w:rPr>
            </w:pPr>
            <w:r>
              <w:rPr>
                <w:rFonts w:cs="Times New Roman" w:ascii="Times New Roman" w:hAnsi="Times New Roman"/>
                <w:b/>
                <w:bCs/>
              </w:rPr>
              <w:t>SESSÃO PÚBLICA</w:t>
            </w:r>
          </w:p>
        </w:tc>
      </w:tr>
      <w:tr>
        <w:trPr>
          <w:trHeight w:val="358" w:hRule="atLeast"/>
        </w:trPr>
        <w:tc>
          <w:tcPr>
            <w:tcW w:w="3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spacing w:lineRule="auto" w:line="240"/>
              <w:jc w:val="both"/>
              <w:rPr/>
            </w:pPr>
            <w:r>
              <w:rPr>
                <w:rFonts w:cs="Times New Roman" w:ascii="Times New Roman" w:hAnsi="Times New Roman"/>
                <w:b/>
                <w:highlight w:val="yellow"/>
              </w:rPr>
              <w:t>DATA: XX/XX/2018</w:t>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ind w:left="0" w:right="525" w:hanging="0"/>
              <w:jc w:val="both"/>
              <w:rPr/>
            </w:pPr>
            <w:r>
              <w:rPr>
                <w:rFonts w:cs="Times New Roman" w:ascii="Times New Roman" w:hAnsi="Times New Roman"/>
                <w:b/>
                <w:highlight w:val="yellow"/>
              </w:rPr>
              <w:t>HORÁRIO: XX h (horário de Brasília)</w:t>
            </w:r>
          </w:p>
        </w:tc>
      </w:tr>
      <w:tr>
        <w:trPr>
          <w:trHeight w:val="331" w:hRule="atLeast"/>
        </w:trPr>
        <w:tc>
          <w:tcPr>
            <w:tcW w:w="3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before="0" w:after="0"/>
              <w:rPr>
                <w:rFonts w:ascii="Times New Roman" w:hAnsi="Times New Roman" w:eastAsia="Times New Roman" w:cs="Times New Roman"/>
                <w:b/>
                <w:b/>
                <w:bCs/>
                <w:color w:val="00000A"/>
                <w:sz w:val="22"/>
                <w:szCs w:val="22"/>
                <w:lang w:val="pt-BR" w:eastAsia="pt-BR" w:bidi="ar-SA"/>
              </w:rPr>
            </w:pPr>
            <w:r>
              <w:rPr>
                <w:rFonts w:eastAsia="Times New Roman" w:cs="Times New Roman" w:ascii="Times New Roman" w:hAnsi="Times New Roman"/>
                <w:b/>
                <w:bCs/>
                <w:color w:val="00000A"/>
                <w:sz w:val="22"/>
                <w:szCs w:val="22"/>
                <w:lang w:val="pt-BR" w:eastAsia="pt-BR" w:bidi="ar-SA"/>
              </w:rPr>
              <w:t xml:space="preserve">UASG GERENCIADORA: </w:t>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before="0" w:after="0"/>
              <w:ind w:hanging="0"/>
              <w:jc w:val="both"/>
              <w:rPr>
                <w:rFonts w:ascii="Times New Roman" w:hAnsi="Times New Roman" w:eastAsia="Times New Roman" w:cs="Times New Roman"/>
                <w:b/>
                <w:b/>
                <w:bCs/>
                <w:color w:val="00000A"/>
                <w:sz w:val="22"/>
                <w:szCs w:val="22"/>
                <w:lang w:val="pt-BR" w:eastAsia="pt-BR" w:bidi="ar-SA"/>
              </w:rPr>
            </w:pPr>
            <w:r>
              <w:rPr>
                <w:rFonts w:eastAsia="Times New Roman" w:cs="Times New Roman" w:ascii="Times New Roman" w:hAnsi="Times New Roman"/>
                <w:b/>
                <w:bCs/>
                <w:i w:val="false"/>
                <w:iCs w:val="false"/>
                <w:color w:val="00000A"/>
                <w:sz w:val="22"/>
                <w:szCs w:val="22"/>
                <w:lang w:val="pt-BR" w:eastAsia="pt-BR" w:bidi="ar-SA"/>
              </w:rPr>
              <w:t>Reitoria - UASG - 158149</w:t>
            </w:r>
          </w:p>
        </w:tc>
      </w:tr>
      <w:tr>
        <w:trPr>
          <w:trHeight w:val="385" w:hRule="atLeast"/>
        </w:trPr>
        <w:tc>
          <w:tcPr>
            <w:tcW w:w="385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spacing w:before="0" w:after="200"/>
              <w:rPr>
                <w:rFonts w:ascii="Times New Roman" w:hAnsi="Times New Roman"/>
                <w:sz w:val="22"/>
                <w:szCs w:val="22"/>
              </w:rPr>
            </w:pPr>
            <w:r>
              <w:rPr>
                <w:rFonts w:ascii="Times New Roman" w:hAnsi="Times New Roman"/>
                <w:sz w:val="22"/>
                <w:szCs w:val="22"/>
              </w:rPr>
              <w:t xml:space="preserve"> </w:t>
            </w:r>
            <w:r>
              <w:rPr>
                <w:rFonts w:ascii="Times New Roman" w:hAnsi="Times New Roman"/>
                <w:b/>
                <w:bCs/>
                <w:sz w:val="22"/>
                <w:szCs w:val="22"/>
              </w:rPr>
              <w:t>UASGs PARTICIPANTES:</w:t>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Petrolina – UASG - 158499</w:t>
            </w:r>
          </w:p>
        </w:tc>
      </w:tr>
      <w:tr>
        <w:trPr>
          <w:trHeight w:val="442" w:hRule="atLeast"/>
        </w:trPr>
        <w:tc>
          <w:tcPr>
            <w:tcW w:w="3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jc w:val="both"/>
              <w:rPr>
                <w:rFonts w:ascii="Times New Roman" w:hAnsi="Times New Roman" w:eastAsia="Times New Roman" w:cs="Times New Roman"/>
                <w:color w:val="00000A"/>
                <w:sz w:val="22"/>
                <w:szCs w:val="22"/>
                <w:highlight w:val="yellow"/>
                <w:lang w:val="pt-BR" w:eastAsia="pt-BR" w:bidi="ar-SA"/>
              </w:rPr>
            </w:pPr>
            <w:r>
              <w:rPr>
                <w:rFonts w:eastAsia="Times New Roman" w:cs="Times New Roman" w:ascii="Times New Roman" w:hAnsi="Times New Roman"/>
                <w:color w:val="00000A"/>
                <w:sz w:val="22"/>
                <w:szCs w:val="22"/>
                <w:highlight w:val="yellow"/>
                <w:lang w:val="pt-BR" w:eastAsia="pt-BR" w:bidi="ar-SA"/>
              </w:rPr>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Petrolina Zona Rural – UASG - 158278</w:t>
            </w:r>
          </w:p>
        </w:tc>
      </w:tr>
      <w:tr>
        <w:trPr>
          <w:trHeight w:val="521" w:hRule="atLeast"/>
        </w:trPr>
        <w:tc>
          <w:tcPr>
            <w:tcW w:w="3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jc w:val="both"/>
              <w:rPr>
                <w:rFonts w:ascii="Times New Roman" w:hAnsi="Times New Roman" w:eastAsia="Times New Roman" w:cs="Times New Roman"/>
                <w:color w:val="00000A"/>
                <w:sz w:val="22"/>
                <w:szCs w:val="22"/>
                <w:highlight w:val="yellow"/>
                <w:lang w:val="pt-BR" w:eastAsia="pt-BR" w:bidi="ar-SA"/>
              </w:rPr>
            </w:pPr>
            <w:r>
              <w:rPr>
                <w:rFonts w:eastAsia="Times New Roman" w:cs="Times New Roman" w:ascii="Times New Roman" w:hAnsi="Times New Roman"/>
                <w:color w:val="00000A"/>
                <w:sz w:val="22"/>
                <w:szCs w:val="22"/>
                <w:highlight w:val="yellow"/>
                <w:lang w:val="pt-BR" w:eastAsia="pt-BR" w:bidi="ar-SA"/>
              </w:rPr>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Floresta – UASG – 158500</w:t>
            </w:r>
          </w:p>
        </w:tc>
      </w:tr>
      <w:tr>
        <w:trPr>
          <w:trHeight w:val="395" w:hRule="atLeast"/>
        </w:trPr>
        <w:tc>
          <w:tcPr>
            <w:tcW w:w="3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jc w:val="both"/>
              <w:rPr>
                <w:rFonts w:ascii="Times New Roman" w:hAnsi="Times New Roman" w:eastAsia="Times New Roman" w:cs="Times New Roman"/>
                <w:color w:val="00000A"/>
                <w:sz w:val="22"/>
                <w:szCs w:val="22"/>
                <w:highlight w:val="yellow"/>
                <w:lang w:val="pt-BR" w:eastAsia="pt-BR" w:bidi="ar-SA"/>
              </w:rPr>
            </w:pPr>
            <w:r>
              <w:rPr>
                <w:rFonts w:eastAsia="Times New Roman" w:cs="Times New Roman" w:ascii="Times New Roman" w:hAnsi="Times New Roman"/>
                <w:color w:val="00000A"/>
                <w:sz w:val="22"/>
                <w:szCs w:val="22"/>
                <w:highlight w:val="yellow"/>
                <w:lang w:val="pt-BR" w:eastAsia="pt-BR" w:bidi="ar-SA"/>
              </w:rPr>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Salgueiro – UASG – 158568</w:t>
            </w:r>
          </w:p>
        </w:tc>
      </w:tr>
      <w:tr>
        <w:trPr>
          <w:trHeight w:val="418" w:hRule="atLeast"/>
        </w:trPr>
        <w:tc>
          <w:tcPr>
            <w:tcW w:w="3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jc w:val="both"/>
              <w:rPr>
                <w:rFonts w:ascii="Times New Roman" w:hAnsi="Times New Roman" w:eastAsia="Times New Roman" w:cs="Times New Roman"/>
                <w:color w:val="00000A"/>
                <w:sz w:val="22"/>
                <w:szCs w:val="22"/>
                <w:highlight w:val="yellow"/>
                <w:lang w:val="pt-BR" w:eastAsia="pt-BR" w:bidi="ar-SA"/>
              </w:rPr>
            </w:pPr>
            <w:r>
              <w:rPr>
                <w:rFonts w:eastAsia="Times New Roman" w:cs="Times New Roman" w:ascii="Times New Roman" w:hAnsi="Times New Roman"/>
                <w:color w:val="00000A"/>
                <w:sz w:val="22"/>
                <w:szCs w:val="22"/>
                <w:highlight w:val="yellow"/>
                <w:lang w:val="pt-BR" w:eastAsia="pt-BR" w:bidi="ar-SA"/>
              </w:rPr>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Ouricuri – UASG – 158570</w:t>
            </w:r>
          </w:p>
        </w:tc>
      </w:tr>
      <w:tr>
        <w:trPr>
          <w:trHeight w:val="427" w:hRule="atLeast"/>
        </w:trPr>
        <w:tc>
          <w:tcPr>
            <w:tcW w:w="3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Contedodatabela"/>
              <w:spacing w:lineRule="auto" w:line="240"/>
              <w:rPr>
                <w:rFonts w:ascii="Times New Roman" w:hAnsi="Times New Roman" w:eastAsia="Times New Roman" w:cs="Times New Roman"/>
                <w:color w:val="00000A"/>
                <w:sz w:val="22"/>
                <w:szCs w:val="22"/>
                <w:lang w:val="pt-BR" w:eastAsia="pt-BR" w:bidi="ar-SA"/>
              </w:rPr>
            </w:pPr>
            <w:r>
              <w:rPr>
                <w:rFonts w:eastAsia="Times New Roman" w:cs="Times New Roman"/>
                <w:color w:val="00000A"/>
                <w:sz w:val="22"/>
                <w:szCs w:val="22"/>
                <w:lang w:val="pt-BR" w:eastAsia="pt-BR" w:bidi="ar-SA"/>
              </w:rPr>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Serra Talhada – UASG - 158741</w:t>
            </w:r>
          </w:p>
        </w:tc>
      </w:tr>
      <w:tr>
        <w:trPr>
          <w:trHeight w:val="450" w:hRule="atLeast"/>
        </w:trPr>
        <w:tc>
          <w:tcPr>
            <w:tcW w:w="3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jc w:val="both"/>
              <w:rPr>
                <w:rFonts w:ascii="Times New Roman" w:hAnsi="Times New Roman" w:eastAsia="Times New Roman" w:cs="Times New Roman"/>
                <w:color w:val="00000A"/>
                <w:sz w:val="22"/>
                <w:szCs w:val="22"/>
                <w:highlight w:val="yellow"/>
                <w:lang w:val="pt-BR" w:eastAsia="pt-BR" w:bidi="ar-SA"/>
              </w:rPr>
            </w:pPr>
            <w:r>
              <w:rPr>
                <w:rFonts w:eastAsia="Times New Roman" w:cs="Times New Roman" w:ascii="Times New Roman" w:hAnsi="Times New Roman"/>
                <w:color w:val="00000A"/>
                <w:sz w:val="22"/>
                <w:szCs w:val="22"/>
                <w:highlight w:val="yellow"/>
                <w:lang w:val="pt-BR" w:eastAsia="pt-BR" w:bidi="ar-SA"/>
              </w:rPr>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Santa Maria da Boa Vista – UASG -158740</w:t>
            </w:r>
          </w:p>
        </w:tc>
      </w:tr>
      <w:tr>
        <w:trPr>
          <w:trHeight w:val="629" w:hRule="atLeast"/>
        </w:trPr>
        <w:tc>
          <w:tcPr>
            <w:tcW w:w="3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TableParagraph"/>
              <w:spacing w:before="0" w:after="0"/>
              <w:ind w:right="0" w:hanging="0"/>
              <w:jc w:val="center"/>
              <w:rPr>
                <w:rFonts w:ascii="Times New Roman" w:hAnsi="Times New Roman"/>
                <w:sz w:val="22"/>
                <w:szCs w:val="22"/>
              </w:rPr>
            </w:pPr>
            <w:r>
              <w:rPr>
                <w:rFonts w:cs="Arial" w:ascii="Times New Roman" w:hAnsi="Times New Roman"/>
                <w:b/>
                <w:color w:val="000000"/>
                <w:spacing w:val="0"/>
                <w:sz w:val="22"/>
                <w:szCs w:val="22"/>
              </w:rPr>
              <w:t>Pregoeiro:</w:t>
            </w:r>
          </w:p>
          <w:p>
            <w:pPr>
              <w:pStyle w:val="Normal"/>
              <w:spacing w:before="0" w:after="0"/>
              <w:ind w:left="720" w:right="0" w:hanging="0"/>
              <w:jc w:val="center"/>
              <w:rPr/>
            </w:pPr>
            <w:bookmarkStart w:id="1" w:name="__DdeLink__28784_1520180442"/>
            <w:bookmarkEnd w:id="1"/>
            <w:r>
              <w:rPr>
                <w:rStyle w:val="Fontepargpadro"/>
                <w:rFonts w:eastAsia="Arial" w:cs="Arial" w:ascii="Times New Roman" w:hAnsi="Times New Roman"/>
                <w:color w:val="000000"/>
                <w:spacing w:val="0"/>
                <w:sz w:val="22"/>
                <w:szCs w:val="22"/>
                <w:highlight w:val="yellow"/>
                <w:lang w:val="pt-BR" w:eastAsia="pt-BR" w:bidi="ar-SA"/>
              </w:rPr>
              <w:t>Luciano Marcos Rangel L’hotellier</w:t>
            </w:r>
          </w:p>
          <w:p>
            <w:pPr>
              <w:pStyle w:val="Normal"/>
              <w:ind w:left="720" w:right="0" w:hanging="0"/>
              <w:jc w:val="center"/>
              <w:rPr/>
            </w:pPr>
            <w:r>
              <w:rPr>
                <w:rStyle w:val="Fontepargpadro"/>
                <w:rFonts w:eastAsia="Arial" w:cs="Arial" w:ascii="Times New Roman" w:hAnsi="Times New Roman"/>
                <w:color w:val="FF0000"/>
                <w:spacing w:val="31"/>
                <w:sz w:val="22"/>
                <w:szCs w:val="22"/>
              </w:rPr>
              <w:t xml:space="preserve"> </w:t>
            </w:r>
            <w:r>
              <w:rPr>
                <w:rStyle w:val="Fontepargpadro"/>
                <w:rFonts w:eastAsia="Arial" w:cs="Arial" w:ascii="Times New Roman" w:hAnsi="Times New Roman"/>
                <w:b/>
                <w:color w:val="000000"/>
                <w:spacing w:val="0"/>
                <w:sz w:val="22"/>
                <w:szCs w:val="22"/>
              </w:rPr>
              <w:t>Portaria nº 189 de 03/04/2018</w:t>
            </w:r>
          </w:p>
          <w:p>
            <w:pPr>
              <w:pStyle w:val="TableParagraph"/>
              <w:spacing w:before="0" w:after="0"/>
              <w:ind w:right="0" w:hanging="0"/>
              <w:jc w:val="center"/>
              <w:rPr/>
            </w:pPr>
            <w:r>
              <w:rPr>
                <w:rStyle w:val="Fontepargpadro"/>
                <w:rFonts w:cs="Arial" w:ascii="Times New Roman" w:hAnsi="Times New Roman"/>
                <w:b/>
                <w:color w:val="000000"/>
                <w:spacing w:val="0"/>
                <w:sz w:val="22"/>
                <w:szCs w:val="22"/>
              </w:rPr>
              <w:t xml:space="preserve"> </w:t>
            </w:r>
            <w:r>
              <w:rPr>
                <w:rStyle w:val="Fontepargpadro"/>
                <w:rFonts w:cs="Arial" w:ascii="Times New Roman" w:hAnsi="Times New Roman"/>
                <w:b/>
                <w:color w:val="000000"/>
                <w:spacing w:val="0"/>
                <w:sz w:val="22"/>
                <w:szCs w:val="22"/>
              </w:rPr>
              <w:t>Equipe de Apoio:</w:t>
            </w:r>
          </w:p>
          <w:p>
            <w:pPr>
              <w:pStyle w:val="TableParagraph"/>
              <w:spacing w:before="0" w:after="0"/>
              <w:ind w:left="720" w:right="0" w:hanging="0"/>
              <w:jc w:val="center"/>
              <w:rPr>
                <w:rFonts w:ascii="Times New Roman" w:hAnsi="Times New Roman" w:eastAsia="Arial" w:cs="Arial"/>
                <w:color w:val="000000"/>
                <w:spacing w:val="0"/>
                <w:sz w:val="22"/>
                <w:szCs w:val="22"/>
              </w:rPr>
            </w:pPr>
            <w:r>
              <w:rPr>
                <w:rFonts w:eastAsia="Arial" w:cs="Arial" w:ascii="Times New Roman" w:hAnsi="Times New Roman"/>
                <w:color w:val="000000"/>
                <w:spacing w:val="0"/>
                <w:sz w:val="22"/>
                <w:szCs w:val="22"/>
              </w:rPr>
              <w:t>Franco Pereira dos Santos</w:t>
            </w:r>
          </w:p>
          <w:p>
            <w:pPr>
              <w:pStyle w:val="TableParagraph"/>
              <w:spacing w:before="0" w:after="0"/>
              <w:ind w:left="720" w:right="0" w:hanging="0"/>
              <w:jc w:val="center"/>
              <w:rPr>
                <w:rFonts w:ascii="Times New Roman" w:hAnsi="Times New Roman" w:eastAsia="Arial" w:cs="Arial"/>
                <w:color w:val="000000"/>
                <w:spacing w:val="0"/>
                <w:sz w:val="22"/>
                <w:szCs w:val="22"/>
              </w:rPr>
            </w:pPr>
            <w:r>
              <w:rPr>
                <w:rFonts w:eastAsia="Arial" w:cs="Arial" w:ascii="Times New Roman" w:hAnsi="Times New Roman"/>
                <w:color w:val="000000"/>
                <w:spacing w:val="0"/>
                <w:sz w:val="22"/>
                <w:szCs w:val="22"/>
              </w:rPr>
              <w:t xml:space="preserve">Franklin Torres Brandão </w:t>
              <w:br/>
              <w:t>Gerson de Alencar Lima</w:t>
            </w:r>
          </w:p>
          <w:p>
            <w:pPr>
              <w:pStyle w:val="TableParagraph"/>
              <w:spacing w:before="0" w:after="0"/>
              <w:ind w:left="720" w:right="0" w:hanging="0"/>
              <w:jc w:val="center"/>
              <w:rPr>
                <w:rFonts w:ascii="Times New Roman" w:hAnsi="Times New Roman" w:eastAsia="Arial" w:cs="Arial"/>
                <w:color w:val="000000"/>
                <w:spacing w:val="0"/>
                <w:sz w:val="22"/>
                <w:szCs w:val="22"/>
              </w:rPr>
            </w:pPr>
            <w:r>
              <w:rPr>
                <w:rFonts w:eastAsia="Arial" w:cs="Arial" w:ascii="Times New Roman" w:hAnsi="Times New Roman"/>
                <w:color w:val="000000"/>
                <w:spacing w:val="0"/>
                <w:sz w:val="22"/>
                <w:szCs w:val="22"/>
              </w:rPr>
              <w:t>Silvanio Antonio de Carvalho</w:t>
            </w:r>
          </w:p>
          <w:p>
            <w:pPr>
              <w:pStyle w:val="TableParagraph"/>
              <w:overflowPunct w:val="false"/>
              <w:snapToGrid w:val="false"/>
              <w:spacing w:before="0" w:after="0"/>
              <w:ind w:left="0" w:right="0" w:hanging="0"/>
              <w:jc w:val="center"/>
              <w:rPr/>
            </w:pPr>
            <w:r>
              <w:rPr>
                <w:rStyle w:val="Fontepargpadro"/>
                <w:rFonts w:cs="Arial" w:ascii="Times New Roman" w:hAnsi="Times New Roman"/>
                <w:b/>
                <w:color w:val="000000"/>
                <w:spacing w:val="0"/>
                <w:sz w:val="22"/>
                <w:szCs w:val="22"/>
              </w:rPr>
              <w:t xml:space="preserve">Portaria nº </w:t>
            </w:r>
            <w:r>
              <w:rPr>
                <w:rStyle w:val="Fontepargpadro"/>
                <w:rFonts w:eastAsia="Arial" w:cs="Arial" w:ascii="Times New Roman" w:hAnsi="Times New Roman"/>
                <w:b/>
                <w:color w:val="000000"/>
                <w:spacing w:val="0"/>
                <w:sz w:val="22"/>
                <w:szCs w:val="22"/>
              </w:rPr>
              <w:t xml:space="preserve">190  de 03 de abril de 2018 </w:t>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ind w:left="0" w:right="544" w:hanging="0"/>
              <w:jc w:val="both"/>
              <w:rPr>
                <w:rFonts w:ascii="Times New Roman" w:hAnsi="Times New Roman"/>
                <w:sz w:val="22"/>
                <w:szCs w:val="22"/>
              </w:rPr>
            </w:pPr>
            <w:r>
              <w:rPr>
                <w:rFonts w:cs="Times New Roman" w:ascii="Times New Roman" w:hAnsi="Times New Roman"/>
                <w:b/>
                <w:sz w:val="22"/>
                <w:szCs w:val="22"/>
              </w:rPr>
              <w:t>Instituto Federal de Educação, Ciências e Tecnologia do Sertão Pernambucano – Reitoria</w:t>
            </w:r>
          </w:p>
          <w:p>
            <w:pPr>
              <w:pStyle w:val="Padro"/>
              <w:ind w:left="0" w:right="544" w:hanging="0"/>
              <w:jc w:val="both"/>
              <w:rPr/>
            </w:pPr>
            <w:r>
              <w:rPr>
                <w:rFonts w:cs="Times New Roman" w:ascii="Times New Roman" w:hAnsi="Times New Roman"/>
                <w:b/>
                <w:sz w:val="22"/>
                <w:szCs w:val="22"/>
              </w:rPr>
              <w:t>Endereço:</w:t>
            </w:r>
            <w:r>
              <w:rPr>
                <w:rFonts w:eastAsia="Times New Roman" w:cs="Times New Roman" w:ascii="Times New Roman" w:hAnsi="Times New Roman"/>
                <w:b/>
                <w:color w:val="00000A"/>
                <w:sz w:val="22"/>
                <w:szCs w:val="22"/>
                <w:lang w:val="pt-BR" w:eastAsia="pt-BR" w:bidi="ar-SA"/>
              </w:rPr>
              <w:t xml:space="preserve"> </w:t>
            </w:r>
            <w:r>
              <w:rPr>
                <w:rStyle w:val="Fontepargpadro1"/>
                <w:rFonts w:eastAsia="Times New Roman" w:cs="Times New Roman" w:ascii="Times New Roman" w:hAnsi="Times New Roman"/>
                <w:b w:val="false"/>
                <w:bCs w:val="false"/>
                <w:iCs/>
                <w:color w:val="00000A"/>
                <w:sz w:val="22"/>
                <w:szCs w:val="22"/>
                <w:lang w:val="pt-BR" w:eastAsia="pt-BR" w:bidi="ar-SA"/>
              </w:rPr>
              <w:t>Rua Aristarco Lopes, 240, Centro, Petrolina-PE</w:t>
            </w:r>
            <w:r>
              <w:rPr>
                <w:rStyle w:val="Fontepargpadro"/>
                <w:rFonts w:eastAsia="Times New Roman" w:cs="Times New Roman" w:ascii="Times New Roman" w:hAnsi="Times New Roman"/>
                <w:b w:val="false"/>
                <w:bCs w:val="false"/>
                <w:color w:val="00000A"/>
                <w:spacing w:val="0"/>
                <w:sz w:val="22"/>
                <w:szCs w:val="22"/>
                <w:u w:val="none"/>
                <w:lang w:val="pt-BR" w:eastAsia="pt-BR" w:bidi="ar-SA"/>
              </w:rPr>
              <w:t>, CEP: 56.302-100. Tel.:  (87) 2101-2350</w:t>
            </w:r>
          </w:p>
          <w:p>
            <w:pPr>
              <w:pStyle w:val="Padro"/>
              <w:ind w:left="0" w:right="544" w:hanging="0"/>
              <w:jc w:val="both"/>
              <w:rPr/>
            </w:pPr>
            <w:bookmarkStart w:id="2" w:name="__DdeLink__5145_1617075586"/>
            <w:bookmarkStart w:id="3" w:name="__DdeLink__22098_124032206"/>
            <w:bookmarkEnd w:id="2"/>
            <w:bookmarkEnd w:id="3"/>
            <w:r>
              <w:rPr>
                <w:rStyle w:val="Fontepargpadro"/>
                <w:rFonts w:eastAsia="Times New Roman" w:cs="Times New Roman" w:ascii="Times New Roman" w:hAnsi="Times New Roman"/>
                <w:b/>
                <w:bCs/>
                <w:color w:val="00000A"/>
                <w:spacing w:val="0"/>
                <w:sz w:val="22"/>
                <w:szCs w:val="22"/>
                <w:u w:val="none"/>
                <w:lang w:val="pt-BR" w:eastAsia="pt-BR" w:bidi="ar-SA"/>
              </w:rPr>
              <w:t xml:space="preserve">E-mail: </w:t>
            </w:r>
            <w:hyperlink r:id="rId2">
              <w:r>
                <w:rPr>
                  <w:rStyle w:val="Fontepargpadro"/>
                  <w:rFonts w:eastAsia="Times New Roman" w:cs="Times New Roman" w:ascii="Times New Roman" w:hAnsi="Times New Roman"/>
                  <w:b w:val="false"/>
                  <w:bCs w:val="false"/>
                  <w:color w:val="00000A"/>
                  <w:spacing w:val="0"/>
                  <w:sz w:val="22"/>
                  <w:szCs w:val="22"/>
                  <w:u w:val="none"/>
                  <w:lang w:val="pt-BR" w:eastAsia="pt-BR" w:bidi="ar-SA"/>
                </w:rPr>
                <w:t>licitacoes@ifsertao-pe.edu.br</w:t>
              </w:r>
            </w:hyperlink>
            <w:r>
              <w:rPr>
                <w:rStyle w:val="Fontepargpadro"/>
                <w:rFonts w:eastAsia="Times New Roman" w:cs="Times New Roman" w:ascii="Times New Roman" w:hAnsi="Times New Roman"/>
                <w:b w:val="false"/>
                <w:bCs w:val="false"/>
                <w:color w:val="00000A"/>
                <w:spacing w:val="0"/>
                <w:sz w:val="22"/>
                <w:szCs w:val="22"/>
                <w:u w:val="none"/>
                <w:lang w:val="pt-BR" w:eastAsia="pt-BR" w:bidi="ar-SA"/>
              </w:rPr>
              <w:t xml:space="preserve">   </w:t>
            </w:r>
          </w:p>
        </w:tc>
      </w:tr>
    </w:tbl>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tbl>
      <w:tblPr>
        <w:tblW w:w="9900" w:type="dxa"/>
        <w:jc w:val="left"/>
        <w:tblInd w:w="-72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8" w:type="dxa"/>
        </w:tblCellMar>
      </w:tblPr>
      <w:tblGrid>
        <w:gridCol w:w="3063"/>
        <w:gridCol w:w="1857"/>
        <w:gridCol w:w="2610"/>
        <w:gridCol w:w="2369"/>
      </w:tblGrid>
      <w:tr>
        <w:trPr/>
        <w:tc>
          <w:tcPr>
            <w:tcW w:w="98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ind w:left="720" w:right="0" w:hanging="0"/>
              <w:jc w:val="center"/>
              <w:rPr/>
            </w:pPr>
            <w:r>
              <w:rPr>
                <w:rFonts w:cs="Times New Roman" w:ascii="Times New Roman" w:hAnsi="Times New Roman"/>
                <w:b/>
              </w:rPr>
              <w:t>EDITAL</w:t>
            </w:r>
          </w:p>
        </w:tc>
      </w:tr>
      <w:tr>
        <w:trPr>
          <w:trHeight w:val="417" w:hRule="atLeast"/>
        </w:trPr>
        <w:tc>
          <w:tcPr>
            <w:tcW w:w="49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pacing w:before="0" w:after="200"/>
              <w:jc w:val="center"/>
              <w:rPr/>
            </w:pPr>
            <w:r>
              <w:rPr>
                <w:rFonts w:cs="Times New Roman" w:ascii="Times New Roman" w:hAnsi="Times New Roman"/>
                <w:b/>
              </w:rPr>
              <w:t xml:space="preserve">Pregão Eletrônico </w:t>
            </w:r>
            <w:r>
              <w:rPr>
                <w:rFonts w:cs="Times New Roman" w:ascii="Times New Roman" w:hAnsi="Times New Roman"/>
                <w:b/>
                <w:color w:val="000000"/>
              </w:rPr>
              <w:t>n</w:t>
            </w:r>
            <w:r>
              <w:rPr>
                <w:rFonts w:cs="Times New Roman" w:ascii="Times New Roman" w:hAnsi="Times New Roman"/>
                <w:b/>
                <w:color w:val="000000"/>
                <w:highlight w:val="yellow"/>
              </w:rPr>
              <w:t>º 01/2019</w:t>
            </w:r>
          </w:p>
        </w:tc>
        <w:tc>
          <w:tcPr>
            <w:tcW w:w="49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pacing w:before="0" w:after="0"/>
              <w:jc w:val="center"/>
              <w:rPr/>
            </w:pPr>
            <w:r>
              <w:rPr>
                <w:rFonts w:cs="Times New Roman" w:ascii="Times New Roman" w:hAnsi="Times New Roman"/>
                <w:b/>
                <w:color w:val="000000"/>
              </w:rPr>
              <w:t>Data de abertura:</w:t>
            </w:r>
            <w:r>
              <w:rPr>
                <w:rFonts w:cs="Times New Roman" w:ascii="Times New Roman" w:hAnsi="Times New Roman"/>
                <w:b/>
                <w:color w:val="FF0000"/>
                <w:highlight w:val="yellow"/>
              </w:rPr>
              <w:t xml:space="preserve"> </w:t>
            </w:r>
            <w:r>
              <w:rPr>
                <w:rFonts w:cs="Times New Roman" w:ascii="Times New Roman" w:hAnsi="Times New Roman"/>
                <w:b/>
                <w:color w:val="000000"/>
                <w:highlight w:val="yellow"/>
              </w:rPr>
              <w:t>xx/x/xxxx às xxh</w:t>
            </w:r>
          </w:p>
          <w:p>
            <w:pPr>
              <w:pStyle w:val="Normal"/>
              <w:spacing w:before="0" w:after="0"/>
              <w:jc w:val="center"/>
              <w:rPr/>
            </w:pPr>
            <w:r>
              <w:rPr>
                <w:rFonts w:cs="Times New Roman" w:ascii="Times New Roman" w:hAnsi="Times New Roman"/>
              </w:rPr>
              <w:t xml:space="preserve">no sítio </w:t>
            </w:r>
            <w:hyperlink r:id="rId3">
              <w:r>
                <w:rPr>
                  <w:rStyle w:val="LinkdaInternet"/>
                  <w:rFonts w:cs="Times New Roman" w:ascii="Times New Roman" w:hAnsi="Times New Roman"/>
                  <w:color w:val="0000FF"/>
                  <w:u w:val="single"/>
                </w:rPr>
                <w:t>www.comprasnet.gov.br</w:t>
              </w:r>
            </w:hyperlink>
          </w:p>
        </w:tc>
      </w:tr>
      <w:tr>
        <w:trPr/>
        <w:tc>
          <w:tcPr>
            <w:tcW w:w="30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sz w:val="20"/>
                <w:szCs w:val="20"/>
              </w:rPr>
            </w:pPr>
            <w:r>
              <w:rPr>
                <w:rFonts w:cs="Times New Roman" w:ascii="Times New Roman" w:hAnsi="Times New Roman"/>
                <w:b/>
                <w:bCs/>
                <w:color w:val="000000"/>
                <w:sz w:val="20"/>
                <w:szCs w:val="20"/>
              </w:rPr>
              <w:t>Processo nº</w:t>
            </w:r>
            <w:r>
              <w:rPr>
                <w:rFonts w:eastAsia="DejaVu Sans;Yu Gothic" w:cs="Times New Roman" w:ascii="Times New Roman" w:hAnsi="Times New Roman"/>
                <w:b/>
                <w:bCs/>
                <w:color w:val="00000A"/>
                <w:sz w:val="20"/>
                <w:szCs w:val="20"/>
                <w:lang w:val="pt-BR" w:eastAsia="zh-CN" w:bidi="hi-IN"/>
              </w:rPr>
              <w:t xml:space="preserve"> </w:t>
            </w:r>
            <w:r>
              <w:rPr>
                <w:rFonts w:eastAsia="DejaVu Sans;Yu Gothic" w:cs="Arial" w:ascii="Times New Roman" w:hAnsi="Times New Roman"/>
                <w:b/>
                <w:bCs/>
                <w:color w:val="00000A"/>
                <w:sz w:val="20"/>
                <w:szCs w:val="20"/>
                <w:lang w:val="pt-BR" w:eastAsia="zh-CN" w:bidi="hi-IN"/>
              </w:rPr>
              <w:t>23600.000001.2019-17</w:t>
            </w:r>
          </w:p>
        </w:tc>
        <w:tc>
          <w:tcPr>
            <w:tcW w:w="1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color w:val="000000"/>
                <w:sz w:val="22"/>
                <w:szCs w:val="22"/>
              </w:rPr>
            </w:pPr>
            <w:r>
              <w:rPr>
                <w:rFonts w:cs="Times New Roman" w:ascii="Times New Roman" w:hAnsi="Times New Roman"/>
                <w:b/>
                <w:color w:val="000000"/>
                <w:sz w:val="22"/>
                <w:szCs w:val="22"/>
              </w:rPr>
              <w:t xml:space="preserve">SRP? </w:t>
            </w:r>
          </w:p>
          <w:p>
            <w:pPr>
              <w:pStyle w:val="Normal"/>
              <w:spacing w:before="0" w:after="0"/>
              <w:rPr>
                <w:rFonts w:ascii="Times New Roman" w:hAnsi="Times New Roman"/>
                <w:sz w:val="22"/>
                <w:szCs w:val="22"/>
              </w:rPr>
            </w:pP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 xml:space="preserve">Sim   </w:t>
            </w: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Não</w:t>
            </w:r>
          </w:p>
        </w:tc>
        <w:tc>
          <w:tcPr>
            <w:tcW w:w="2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color w:val="000000"/>
                <w:sz w:val="22"/>
                <w:szCs w:val="22"/>
              </w:rPr>
            </w:pPr>
            <w:r>
              <w:rPr>
                <w:rFonts w:cs="Times New Roman" w:ascii="Times New Roman" w:hAnsi="Times New Roman"/>
                <w:b/>
                <w:color w:val="000000"/>
                <w:sz w:val="22"/>
                <w:szCs w:val="22"/>
              </w:rPr>
              <w:t xml:space="preserve">Exclusiva ME/EPP? </w:t>
            </w:r>
          </w:p>
          <w:p>
            <w:pPr>
              <w:pStyle w:val="Normal"/>
              <w:spacing w:before="0" w:after="0"/>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 xml:space="preserve">Sim  </w:t>
            </w: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Não</w:t>
            </w:r>
          </w:p>
        </w:tc>
        <w:tc>
          <w:tcPr>
            <w:tcW w:w="23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color w:val="000000"/>
                <w:sz w:val="22"/>
                <w:szCs w:val="22"/>
              </w:rPr>
            </w:pPr>
            <w:r>
              <w:rPr>
                <w:rFonts w:cs="Times New Roman" w:ascii="Times New Roman" w:hAnsi="Times New Roman"/>
                <w:b/>
                <w:color w:val="000000"/>
                <w:sz w:val="22"/>
                <w:szCs w:val="22"/>
              </w:rPr>
              <w:t xml:space="preserve">Reserva de quota ME/EPP? </w:t>
            </w:r>
          </w:p>
          <w:p>
            <w:pPr>
              <w:pStyle w:val="Normal"/>
              <w:spacing w:before="0" w:after="0"/>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 xml:space="preserve">Sim  </w:t>
            </w: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Não</w:t>
            </w:r>
          </w:p>
        </w:tc>
      </w:tr>
      <w:tr>
        <w:trPr/>
        <w:tc>
          <w:tcPr>
            <w:tcW w:w="49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Default"/>
              <w:spacing w:lineRule="auto" w:line="240"/>
              <w:jc w:val="both"/>
              <w:rPr/>
            </w:pPr>
            <w:r>
              <w:rPr>
                <w:rFonts w:cs="Times New Roman" w:ascii="Times New Roman" w:hAnsi="Times New Roman"/>
                <w:b/>
                <w:color w:val="000000"/>
                <w:sz w:val="22"/>
                <w:szCs w:val="22"/>
              </w:rPr>
              <w:t xml:space="preserve">Objeto: </w:t>
            </w:r>
            <w:r>
              <w:rPr>
                <w:rStyle w:val="Fontepargpadro"/>
                <w:rFonts w:eastAsia="Calibri" w:cs="Arial" w:ascii="Times New Roman" w:hAnsi="Times New Roman"/>
                <w:b w:val="false"/>
                <w:bCs w:val="false"/>
                <w:color w:val="000000"/>
                <w:spacing w:val="0"/>
                <w:sz w:val="22"/>
                <w:szCs w:val="22"/>
                <w:lang w:val="pt-BR" w:eastAsia="zh-CN" w:bidi="ar-SA"/>
              </w:rPr>
              <w:t>Aquisição de Gêneros Alimentícios</w:t>
            </w:r>
            <w:r>
              <w:rPr>
                <w:rFonts w:eastAsia="Calibri" w:cs="Arial" w:ascii="Times New Roman" w:hAnsi="Times New Roman"/>
                <w:b w:val="false"/>
                <w:bCs w:val="false"/>
                <w:color w:val="000000"/>
                <w:spacing w:val="0"/>
                <w:sz w:val="22"/>
                <w:szCs w:val="22"/>
                <w:lang w:val="pt-BR" w:eastAsia="zh-CN" w:bidi="ar-SA"/>
              </w:rPr>
              <w:t xml:space="preserve"> para atender aos Campi e Reitoria do Instituto Federal de Educação, Ciência e Tecnologia do Sertão Pernambucano – IF SERTÃO-PE.</w:t>
            </w:r>
          </w:p>
        </w:tc>
        <w:tc>
          <w:tcPr>
            <w:tcW w:w="2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lineRule="auto" w:line="240"/>
              <w:jc w:val="both"/>
              <w:rPr>
                <w:rFonts w:ascii="Times New Roman" w:hAnsi="Times New Roman"/>
                <w:color w:val="000000"/>
                <w:sz w:val="22"/>
                <w:szCs w:val="22"/>
              </w:rPr>
            </w:pPr>
            <w:r>
              <w:rPr>
                <w:rFonts w:cs="Times New Roman" w:ascii="Times New Roman" w:hAnsi="Times New Roman"/>
                <w:b/>
                <w:color w:val="000000"/>
                <w:sz w:val="22"/>
                <w:szCs w:val="22"/>
              </w:rPr>
              <w:t xml:space="preserve">Decreto 7.174? </w:t>
            </w:r>
          </w:p>
          <w:p>
            <w:pPr>
              <w:pStyle w:val="Normal"/>
              <w:spacing w:lineRule="auto" w:line="240" w:before="0" w:after="200"/>
              <w:jc w:val="both"/>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 xml:space="preserve">Sim  </w:t>
            </w: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Não</w:t>
            </w:r>
          </w:p>
        </w:tc>
        <w:tc>
          <w:tcPr>
            <w:tcW w:w="23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rPr>
                <w:rFonts w:ascii="Times New Roman" w:hAnsi="Times New Roman"/>
                <w:color w:val="000000"/>
                <w:sz w:val="22"/>
                <w:szCs w:val="22"/>
              </w:rPr>
            </w:pPr>
            <w:r>
              <w:rPr>
                <w:rFonts w:cs="Times New Roman" w:ascii="Times New Roman" w:hAnsi="Times New Roman"/>
                <w:b/>
                <w:color w:val="000000"/>
                <w:sz w:val="22"/>
                <w:szCs w:val="22"/>
              </w:rPr>
              <w:t xml:space="preserve">Margem de preferência? </w:t>
            </w:r>
          </w:p>
          <w:p>
            <w:pPr>
              <w:pStyle w:val="Normal"/>
              <w:spacing w:lineRule="auto" w:line="240" w:before="0" w:after="200"/>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 xml:space="preserve">Sim  </w:t>
            </w: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Não</w:t>
            </w:r>
          </w:p>
        </w:tc>
      </w:tr>
      <w:tr>
        <w:trPr>
          <w:trHeight w:val="462" w:hRule="atLeast"/>
          <w:cantSplit w:val="true"/>
        </w:trPr>
        <w:tc>
          <w:tcPr>
            <w:tcW w:w="49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pPr>
            <w:r>
              <w:rPr>
                <w:rFonts w:cs="Times New Roman" w:ascii="Times New Roman" w:hAnsi="Times New Roman"/>
                <w:b/>
                <w:color w:val="000000"/>
                <w:sz w:val="22"/>
                <w:szCs w:val="22"/>
              </w:rPr>
              <w:t>Valor total máximo</w:t>
            </w:r>
            <w:r>
              <w:rPr>
                <w:rFonts w:eastAsia="Segoe UI" w:cs="Times New Roman" w:ascii="Times New Roman" w:hAnsi="Times New Roman"/>
                <w:b/>
                <w:color w:val="00000A"/>
                <w:sz w:val="22"/>
                <w:szCs w:val="22"/>
                <w:lang w:val="pt-BR" w:eastAsia="pt-BR" w:bidi="ar-SA"/>
              </w:rPr>
              <w:t xml:space="preserve"> </w:t>
            </w:r>
            <w:r>
              <w:rPr>
                <w:rFonts w:eastAsia="Segoe UI" w:cs="Times New Roman" w:ascii="Times New Roman" w:hAnsi="Times New Roman"/>
                <w:b/>
                <w:color w:val="00000A"/>
                <w:spacing w:val="0"/>
                <w:sz w:val="22"/>
                <w:szCs w:val="22"/>
                <w:highlight w:val="yellow"/>
                <w:lang w:val="pt-BR" w:eastAsia="pt-BR" w:bidi="ar-SA"/>
              </w:rPr>
              <w:t xml:space="preserve">R$ </w:t>
            </w:r>
            <w:r>
              <w:rPr>
                <w:rFonts w:eastAsia="Segoe UI" w:cs="Times New Roman" w:ascii="Times New Roman" w:hAnsi="Times New Roman"/>
                <w:b/>
                <w:bCs/>
                <w:color w:val="00000A"/>
                <w:spacing w:val="0"/>
                <w:sz w:val="22"/>
                <w:szCs w:val="22"/>
                <w:highlight w:val="yellow"/>
                <w:lang w:val="pt-BR" w:eastAsia="pt-BR" w:bidi="ar-SA"/>
              </w:rPr>
              <w:t>4.729.062,69</w:t>
            </w:r>
          </w:p>
        </w:tc>
        <w:tc>
          <w:tcPr>
            <w:tcW w:w="261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before="0" w:after="0"/>
              <w:jc w:val="both"/>
              <w:rPr>
                <w:rFonts w:ascii="Times New Roman" w:hAnsi="Times New Roman"/>
                <w:color w:val="000000"/>
                <w:sz w:val="22"/>
                <w:szCs w:val="22"/>
              </w:rPr>
            </w:pPr>
            <w:r>
              <w:rPr>
                <w:rFonts w:cs="Times New Roman" w:ascii="Times New Roman" w:hAnsi="Times New Roman"/>
                <w:b/>
                <w:color w:val="000000"/>
                <w:sz w:val="22"/>
                <w:szCs w:val="22"/>
              </w:rPr>
              <w:t xml:space="preserve">Vistoria? </w:t>
            </w:r>
          </w:p>
          <w:p>
            <w:pPr>
              <w:pStyle w:val="Normal"/>
              <w:spacing w:before="0" w:after="0"/>
              <w:jc w:val="both"/>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 xml:space="preserve">Obrigatória </w:t>
            </w:r>
          </w:p>
          <w:p>
            <w:pPr>
              <w:pStyle w:val="Normal"/>
              <w:spacing w:before="0" w:after="0"/>
              <w:jc w:val="both"/>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Facultativa</w:t>
            </w:r>
            <w:r>
              <w:rPr>
                <w:rFonts w:eastAsia="Calibri" w:cs="Times New Roman" w:ascii="Times New Roman" w:hAnsi="Times New Roman"/>
                <w:color w:val="000000"/>
                <w:sz w:val="22"/>
                <w:szCs w:val="22"/>
                <w:lang w:eastAsia="en-US"/>
              </w:rPr>
              <w:t xml:space="preserve"> </w:t>
            </w:r>
          </w:p>
          <w:p>
            <w:pPr>
              <w:pStyle w:val="Normal"/>
              <w:spacing w:before="0" w:after="0"/>
              <w:jc w:val="both"/>
              <w:rPr>
                <w:rFonts w:ascii="Times New Roman" w:hAnsi="Times New Roman"/>
                <w:sz w:val="22"/>
                <w:szCs w:val="22"/>
              </w:rPr>
            </w:pP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Não se aplica</w:t>
            </w:r>
          </w:p>
        </w:tc>
        <w:tc>
          <w:tcPr>
            <w:tcW w:w="23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color w:val="000000"/>
                <w:sz w:val="22"/>
                <w:szCs w:val="22"/>
              </w:rPr>
            </w:pPr>
            <w:r>
              <w:rPr>
                <w:rFonts w:cs="Times New Roman" w:ascii="Times New Roman" w:hAnsi="Times New Roman"/>
                <w:b/>
                <w:color w:val="000000"/>
                <w:sz w:val="22"/>
                <w:szCs w:val="22"/>
              </w:rPr>
              <w:t xml:space="preserve">Amostra/Demonstração? </w:t>
            </w:r>
          </w:p>
          <w:p>
            <w:pPr>
              <w:pStyle w:val="Normal"/>
              <w:spacing w:before="0" w:after="0"/>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 xml:space="preserve">Sim  </w:t>
            </w: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Não</w:t>
            </w:r>
          </w:p>
          <w:p>
            <w:pPr>
              <w:pStyle w:val="Normal"/>
              <w:spacing w:before="0" w:after="0"/>
              <w:rPr>
                <w:rFonts w:ascii="Times New Roman" w:hAnsi="Times New Roman" w:cs="Times New Roman"/>
                <w:i/>
                <w:i/>
                <w:color w:val="FF0000"/>
                <w:sz w:val="22"/>
                <w:szCs w:val="22"/>
              </w:rPr>
            </w:pPr>
            <w:r>
              <w:rPr>
                <w:rFonts w:cs="Times New Roman" w:ascii="Times New Roman" w:hAnsi="Times New Roman"/>
                <w:i/>
                <w:color w:val="FF0000"/>
                <w:sz w:val="22"/>
                <w:szCs w:val="22"/>
              </w:rPr>
            </w:r>
          </w:p>
        </w:tc>
      </w:tr>
      <w:tr>
        <w:trPr>
          <w:trHeight w:val="462" w:hRule="atLeast"/>
          <w:cantSplit w:val="true"/>
        </w:trPr>
        <w:tc>
          <w:tcPr>
            <w:tcW w:w="49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sz w:val="22"/>
                <w:szCs w:val="22"/>
              </w:rPr>
            </w:pPr>
            <w:r>
              <w:rPr>
                <w:rFonts w:cs="Times New Roman" w:ascii="Times New Roman" w:hAnsi="Times New Roman"/>
                <w:b/>
                <w:sz w:val="22"/>
                <w:szCs w:val="22"/>
              </w:rPr>
              <w:t>Prazo para envio da proposta/documentação:</w:t>
            </w:r>
          </w:p>
          <w:p>
            <w:pPr>
              <w:pStyle w:val="Normal"/>
              <w:spacing w:before="0" w:after="0"/>
              <w:jc w:val="both"/>
              <w:rPr>
                <w:rFonts w:ascii="Times New Roman" w:hAnsi="Times New Roman"/>
                <w:sz w:val="22"/>
                <w:szCs w:val="22"/>
              </w:rPr>
            </w:pPr>
            <w:r>
              <w:rPr>
                <w:rFonts w:cs="Times New Roman" w:ascii="Times New Roman" w:hAnsi="Times New Roman"/>
                <w:sz w:val="22"/>
                <w:szCs w:val="22"/>
              </w:rPr>
              <w:t>Até 2 (duas) horas após a convocação realizada pelo Pregoeiro.</w:t>
            </w:r>
          </w:p>
        </w:tc>
        <w:tc>
          <w:tcPr>
            <w:tcW w:w="261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widowControl/>
              <w:bidi w:val="0"/>
              <w:spacing w:lineRule="auto" w:line="276" w:before="0" w:after="200"/>
              <w:jc w:val="left"/>
              <w:rPr>
                <w:rFonts w:ascii="Times New Roman" w:hAnsi="Times New Roman"/>
                <w:sz w:val="22"/>
                <w:szCs w:val="22"/>
              </w:rPr>
            </w:pPr>
            <w:r>
              <w:rPr>
                <w:rFonts w:ascii="Times New Roman" w:hAnsi="Times New Roman"/>
                <w:sz w:val="22"/>
                <w:szCs w:val="22"/>
              </w:rPr>
            </w:r>
          </w:p>
        </w:tc>
        <w:tc>
          <w:tcPr>
            <w:tcW w:w="23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bidi w:val="0"/>
              <w:spacing w:lineRule="auto" w:line="276" w:before="0" w:after="200"/>
              <w:jc w:val="left"/>
              <w:rPr>
                <w:rFonts w:ascii="Times New Roman" w:hAnsi="Times New Roman"/>
                <w:sz w:val="22"/>
                <w:szCs w:val="22"/>
              </w:rPr>
            </w:pPr>
            <w:r>
              <w:rPr>
                <w:rFonts w:ascii="Times New Roman" w:hAnsi="Times New Roman"/>
                <w:sz w:val="22"/>
                <w:szCs w:val="22"/>
              </w:rPr>
            </w:r>
          </w:p>
        </w:tc>
      </w:tr>
      <w:tr>
        <w:trPr>
          <w:trHeight w:val="415" w:hRule="atLeast"/>
        </w:trPr>
        <w:tc>
          <w:tcPr>
            <w:tcW w:w="49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color w:val="000000"/>
                <w:sz w:val="22"/>
                <w:szCs w:val="22"/>
              </w:rPr>
            </w:pPr>
            <w:r>
              <w:rPr>
                <w:rFonts w:cs="Times New Roman" w:ascii="Times New Roman" w:hAnsi="Times New Roman"/>
                <w:b/>
                <w:color w:val="000000"/>
                <w:sz w:val="22"/>
                <w:szCs w:val="22"/>
              </w:rPr>
              <w:t>Pedidos de esclarecimentos</w:t>
            </w:r>
          </w:p>
          <w:p>
            <w:pPr>
              <w:pStyle w:val="Normal"/>
              <w:spacing w:before="0" w:after="200"/>
              <w:rPr/>
            </w:pPr>
            <w:r>
              <w:rPr>
                <w:rFonts w:cs="Arial" w:ascii="Times New Roman" w:hAnsi="Times New Roman"/>
                <w:color w:val="000000"/>
                <w:sz w:val="22"/>
                <w:szCs w:val="22"/>
              </w:rPr>
              <w:t>Até 03 (três) dias úteis anteriores à data designada para abertura da sessão pública</w:t>
            </w:r>
            <w:r>
              <w:rPr>
                <w:rFonts w:cs="Times New Roman" w:ascii="Times New Roman" w:hAnsi="Times New Roman"/>
                <w:color w:val="FF0000"/>
                <w:sz w:val="22"/>
                <w:szCs w:val="22"/>
              </w:rPr>
              <w:t xml:space="preserve"> </w:t>
            </w:r>
            <w:r>
              <w:rPr>
                <w:rFonts w:cs="Times New Roman" w:ascii="Times New Roman" w:hAnsi="Times New Roman"/>
                <w:color w:val="000000"/>
                <w:sz w:val="22"/>
                <w:szCs w:val="22"/>
              </w:rPr>
              <w:t>para o endereço</w:t>
            </w:r>
            <w:r>
              <w:rPr>
                <w:rFonts w:cs="Times New Roman" w:ascii="Times New Roman" w:hAnsi="Times New Roman"/>
                <w:color w:val="FF0000"/>
                <w:sz w:val="22"/>
                <w:szCs w:val="22"/>
              </w:rPr>
              <w:t xml:space="preserve"> </w:t>
            </w:r>
            <w:r>
              <w:rPr>
                <w:rStyle w:val="Fontepargpadro"/>
                <w:rFonts w:eastAsia="Arial" w:cs="Arial" w:ascii="Times New Roman" w:hAnsi="Times New Roman"/>
                <w:b/>
                <w:bCs/>
                <w:color w:val="000000"/>
                <w:spacing w:val="0"/>
                <w:sz w:val="22"/>
                <w:szCs w:val="22"/>
                <w:u w:val="none"/>
              </w:rPr>
              <w:t>licitacoes@ifsertao-pe.edu.br</w:t>
            </w:r>
          </w:p>
        </w:tc>
        <w:tc>
          <w:tcPr>
            <w:tcW w:w="49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before="0" w:after="200"/>
              <w:rPr/>
            </w:pPr>
            <w:r>
              <w:rPr>
                <w:rFonts w:cs="Times New Roman" w:ascii="Times New Roman" w:hAnsi="Times New Roman"/>
                <w:b/>
                <w:color w:val="000000"/>
                <w:sz w:val="22"/>
                <w:szCs w:val="22"/>
              </w:rPr>
              <w:t>Impugnações:</w:t>
            </w:r>
            <w:r>
              <w:rPr>
                <w:rFonts w:cs="Times New Roman" w:ascii="Times New Roman" w:hAnsi="Times New Roman"/>
                <w:b/>
                <w:color w:val="FF0000"/>
                <w:sz w:val="22"/>
                <w:szCs w:val="22"/>
              </w:rPr>
              <w:t xml:space="preserve"> </w:t>
            </w:r>
            <w:r>
              <w:rPr>
                <w:rFonts w:cs="Arial" w:ascii="Times New Roman" w:hAnsi="Times New Roman"/>
                <w:color w:val="000000"/>
                <w:sz w:val="22"/>
                <w:szCs w:val="22"/>
              </w:rPr>
              <w:t>Até 02 (dois) dias úteis antes da data designada para a abertura da sessão pública</w:t>
            </w:r>
            <w:r>
              <w:rPr>
                <w:rFonts w:cs="Times New Roman" w:ascii="Times New Roman" w:hAnsi="Times New Roman"/>
                <w:color w:val="FF0000"/>
                <w:sz w:val="22"/>
                <w:szCs w:val="22"/>
              </w:rPr>
              <w:t xml:space="preserve"> </w:t>
            </w:r>
            <w:r>
              <w:rPr>
                <w:rFonts w:cs="Times New Roman" w:ascii="Times New Roman" w:hAnsi="Times New Roman"/>
                <w:color w:val="000000"/>
                <w:sz w:val="22"/>
                <w:szCs w:val="22"/>
              </w:rPr>
              <w:t xml:space="preserve">para o endereço: </w:t>
            </w:r>
            <w:r>
              <w:rPr>
                <w:rStyle w:val="Fontepargpadro"/>
                <w:rFonts w:eastAsia="Arial" w:cs="Arial" w:ascii="Times New Roman" w:hAnsi="Times New Roman"/>
                <w:b/>
                <w:bCs/>
                <w:color w:val="000000"/>
                <w:spacing w:val="0"/>
                <w:sz w:val="22"/>
                <w:szCs w:val="22"/>
                <w:u w:val="none"/>
              </w:rPr>
              <w:t>licitacoes@ifsertao-pe.edu.br</w:t>
            </w:r>
          </w:p>
        </w:tc>
      </w:tr>
      <w:tr>
        <w:trPr>
          <w:trHeight w:val="177" w:hRule="atLeast"/>
        </w:trPr>
        <w:tc>
          <w:tcPr>
            <w:tcW w:w="98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
              <w:spacing w:before="0" w:after="200"/>
              <w:jc w:val="center"/>
              <w:rPr>
                <w:rFonts w:ascii="Times New Roman" w:hAnsi="Times New Roman"/>
                <w:sz w:val="22"/>
                <w:szCs w:val="22"/>
              </w:rPr>
            </w:pPr>
            <w:r>
              <w:rPr>
                <w:rFonts w:cs="Times New Roman" w:ascii="Times New Roman" w:hAnsi="Times New Roman"/>
                <w:b/>
                <w:sz w:val="22"/>
                <w:szCs w:val="22"/>
              </w:rPr>
              <w:t xml:space="preserve">Documentação de habilitação </w:t>
            </w:r>
          </w:p>
        </w:tc>
      </w:tr>
      <w:tr>
        <w:trPr>
          <w:trHeight w:val="1513" w:hRule="atLeast"/>
        </w:trPr>
        <w:tc>
          <w:tcPr>
            <w:tcW w:w="49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sz w:val="22"/>
                <w:szCs w:val="22"/>
              </w:rPr>
            </w:pPr>
            <w:r>
              <w:rPr>
                <w:rFonts w:cs="Times New Roman" w:ascii="Times New Roman" w:hAnsi="Times New Roman"/>
                <w:b/>
                <w:sz w:val="22"/>
                <w:szCs w:val="22"/>
              </w:rPr>
              <w:t>Requisitos básicos e específicos:</w:t>
            </w:r>
          </w:p>
          <w:p>
            <w:pPr>
              <w:pStyle w:val="Normal"/>
              <w:widowControl/>
              <w:suppressAutoHyphens w:val="false"/>
              <w:spacing w:lineRule="auto" w:line="252" w:before="0" w:after="0"/>
              <w:rPr>
                <w:rFonts w:ascii="Times New Roman" w:hAnsi="Times New Roman"/>
                <w:sz w:val="22"/>
                <w:szCs w:val="22"/>
              </w:rPr>
            </w:pPr>
            <w:r>
              <w:rPr>
                <w:rFonts w:cs="Times New Roman" w:ascii="Times New Roman" w:hAnsi="Times New Roman"/>
                <w:color w:val="000000"/>
                <w:sz w:val="22"/>
                <w:szCs w:val="22"/>
              </w:rPr>
              <w:t>SICAF ou documentos equivalentes</w:t>
            </w:r>
          </w:p>
          <w:p>
            <w:pPr>
              <w:pStyle w:val="Normal"/>
              <w:widowControl/>
              <w:suppressAutoHyphens w:val="false"/>
              <w:spacing w:lineRule="auto" w:line="252" w:before="0" w:after="0"/>
              <w:rPr>
                <w:rFonts w:ascii="Times New Roman" w:hAnsi="Times New Roman"/>
                <w:sz w:val="22"/>
                <w:szCs w:val="22"/>
              </w:rPr>
            </w:pPr>
            <w:r>
              <w:rPr>
                <w:rFonts w:cs="Times New Roman" w:ascii="Times New Roman" w:hAnsi="Times New Roman"/>
                <w:color w:val="000000"/>
                <w:sz w:val="22"/>
                <w:szCs w:val="22"/>
              </w:rPr>
              <w:t>Certidão CNJ</w:t>
            </w:r>
          </w:p>
          <w:p>
            <w:pPr>
              <w:pStyle w:val="Normal"/>
              <w:widowControl/>
              <w:suppressAutoHyphens w:val="false"/>
              <w:spacing w:lineRule="auto" w:line="252" w:before="0" w:after="0"/>
              <w:rPr>
                <w:rFonts w:ascii="Times New Roman" w:hAnsi="Times New Roman"/>
                <w:sz w:val="22"/>
                <w:szCs w:val="22"/>
              </w:rPr>
            </w:pPr>
            <w:r>
              <w:rPr>
                <w:rFonts w:cs="Times New Roman" w:ascii="Times New Roman" w:hAnsi="Times New Roman"/>
                <w:color w:val="000000"/>
                <w:sz w:val="22"/>
                <w:szCs w:val="22"/>
              </w:rPr>
              <w:t>Certidão Portal Transparência</w:t>
            </w:r>
          </w:p>
          <w:p>
            <w:pPr>
              <w:pStyle w:val="Normal"/>
              <w:widowControl/>
              <w:suppressAutoHyphens w:val="false"/>
              <w:spacing w:lineRule="auto" w:line="252" w:before="0" w:after="0"/>
              <w:rPr>
                <w:rFonts w:ascii="Times New Roman" w:hAnsi="Times New Roman"/>
                <w:sz w:val="22"/>
                <w:szCs w:val="22"/>
              </w:rPr>
            </w:pPr>
            <w:r>
              <w:rPr>
                <w:rFonts w:cs="Times New Roman" w:ascii="Times New Roman" w:hAnsi="Times New Roman"/>
                <w:color w:val="000000"/>
                <w:sz w:val="22"/>
                <w:szCs w:val="22"/>
              </w:rPr>
              <w:t>Certidão CNDT</w:t>
            </w:r>
          </w:p>
        </w:tc>
        <w:tc>
          <w:tcPr>
            <w:tcW w:w="49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rPr>
                <w:rFonts w:ascii="Times New Roman" w:hAnsi="Times New Roman"/>
                <w:sz w:val="22"/>
                <w:szCs w:val="22"/>
              </w:rPr>
            </w:pPr>
            <w:r>
              <w:rPr>
                <w:rFonts w:cs="Times New Roman" w:ascii="Times New Roman" w:hAnsi="Times New Roman"/>
                <w:b/>
                <w:sz w:val="22"/>
                <w:szCs w:val="22"/>
              </w:rPr>
              <w:t>Requisitos específicos</w:t>
            </w:r>
          </w:p>
          <w:p>
            <w:pPr>
              <w:pStyle w:val="ListParagraph"/>
              <w:numPr>
                <w:ilvl w:val="0"/>
                <w:numId w:val="2"/>
              </w:numPr>
              <w:spacing w:lineRule="auto" w:line="259"/>
              <w:ind w:left="0" w:right="0" w:hanging="0"/>
              <w:jc w:val="both"/>
              <w:rPr>
                <w:rFonts w:ascii="Times New Roman" w:hAnsi="Times New Roman" w:eastAsia="Segoe UI" w:cs="Times New Roman"/>
                <w:b/>
                <w:b/>
                <w:color w:val="FF0000"/>
                <w:sz w:val="22"/>
                <w:szCs w:val="22"/>
                <w:lang w:val="pt-BR" w:eastAsia="pt-BR" w:bidi="ar-SA"/>
              </w:rPr>
            </w:pPr>
            <w:r>
              <w:rPr>
                <w:rFonts w:eastAsia="Segoe UI" w:cs="Times New Roman" w:ascii="Times New Roman" w:hAnsi="Times New Roman"/>
                <w:b/>
                <w:color w:val="000000"/>
                <w:sz w:val="22"/>
                <w:szCs w:val="22"/>
                <w:lang w:val="pt-BR" w:eastAsia="pt-BR" w:bidi="ar-SA"/>
              </w:rPr>
              <w:t>Atestado de capacidade técnica</w:t>
            </w:r>
          </w:p>
          <w:p>
            <w:pPr>
              <w:pStyle w:val="PargrafodaLista"/>
              <w:jc w:val="both"/>
              <w:rPr>
                <w:rFonts w:ascii="Times New Roman" w:hAnsi="Times New Roman" w:eastAsia="Segoe UI" w:cs="Times New Roman"/>
                <w:b/>
                <w:b/>
                <w:color w:val="FF0000"/>
                <w:sz w:val="22"/>
                <w:szCs w:val="22"/>
                <w:highlight w:val="yellow"/>
                <w:lang w:val="pt-BR" w:eastAsia="pt-BR" w:bidi="ar-SA"/>
              </w:rPr>
            </w:pPr>
            <w:r>
              <w:rPr>
                <w:rFonts w:eastAsia="Segoe UI" w:cs="Times New Roman"/>
                <w:b/>
                <w:color w:val="FF0000"/>
                <w:sz w:val="22"/>
                <w:szCs w:val="22"/>
                <w:highlight w:val="yellow"/>
                <w:lang w:val="pt-BR" w:eastAsia="pt-BR" w:bidi="ar-SA"/>
              </w:rPr>
            </w:r>
          </w:p>
          <w:p>
            <w:pPr>
              <w:pStyle w:val="PargrafodaLista"/>
              <w:jc w:val="both"/>
              <w:rPr>
                <w:rFonts w:ascii="Times New Roman" w:hAnsi="Times New Roman"/>
                <w:color w:val="FF0000"/>
                <w:sz w:val="22"/>
                <w:szCs w:val="22"/>
                <w:highlight w:val="yellow"/>
              </w:rPr>
            </w:pPr>
            <w:r>
              <w:rPr>
                <w:color w:val="FF0000"/>
                <w:sz w:val="22"/>
                <w:szCs w:val="22"/>
                <w:highlight w:val="yellow"/>
              </w:rPr>
            </w:r>
          </w:p>
        </w:tc>
      </w:tr>
      <w:tr>
        <w:trPr>
          <w:trHeight w:val="217" w:hRule="atLeast"/>
        </w:trPr>
        <w:tc>
          <w:tcPr>
            <w:tcW w:w="98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napToGrid w:val="false"/>
              <w:spacing w:before="0" w:after="200"/>
              <w:jc w:val="center"/>
              <w:rPr>
                <w:rFonts w:ascii="Times New Roman" w:hAnsi="Times New Roman" w:cs="Times New Roman"/>
                <w:sz w:val="22"/>
                <w:szCs w:val="22"/>
              </w:rPr>
            </w:pPr>
            <w:r>
              <w:rPr>
                <w:rFonts w:cs="Times New Roman" w:ascii="Times New Roman" w:hAnsi="Times New Roman"/>
                <w:sz w:val="22"/>
                <w:szCs w:val="22"/>
              </w:rPr>
            </w:r>
          </w:p>
        </w:tc>
      </w:tr>
      <w:tr>
        <w:trPr>
          <w:trHeight w:val="871" w:hRule="atLeast"/>
        </w:trPr>
        <w:tc>
          <w:tcPr>
            <w:tcW w:w="98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Cabealho"/>
              <w:rPr>
                <w:rFonts w:ascii="Times New Roman" w:hAnsi="Times New Roman"/>
                <w:sz w:val="22"/>
                <w:szCs w:val="22"/>
              </w:rPr>
            </w:pPr>
            <w:r>
              <w:rPr>
                <w:rFonts w:cs="Times New Roman" w:ascii="Times New Roman" w:hAnsi="Times New Roman"/>
                <w:sz w:val="22"/>
                <w:szCs w:val="22"/>
              </w:rPr>
              <w:t>Adjudicação:</w:t>
            </w:r>
            <w:r>
              <w:rPr>
                <w:rFonts w:eastAsia="Segoe UI" w:cs="Times New Roman" w:ascii="Times New Roman" w:hAnsi="Times New Roman"/>
                <w:b/>
                <w:color w:val="FF0000"/>
                <w:sz w:val="22"/>
                <w:szCs w:val="22"/>
                <w:lang w:val="pt-BR" w:eastAsia="pt-BR" w:bidi="ar-SA"/>
              </w:rPr>
              <w:t xml:space="preserve"> </w:t>
            </w:r>
            <w:r>
              <w:rPr>
                <w:rFonts w:eastAsia="Segoe UI" w:cs="Times New Roman" w:ascii="Times New Roman" w:hAnsi="Times New Roman"/>
                <w:b/>
                <w:color w:val="000000"/>
                <w:sz w:val="22"/>
                <w:szCs w:val="22"/>
                <w:lang w:val="pt-BR" w:eastAsia="pt-BR" w:bidi="ar-SA"/>
              </w:rPr>
              <w:t>Grupo/Global</w:t>
            </w:r>
          </w:p>
        </w:tc>
      </w:tr>
      <w:tr>
        <w:trPr>
          <w:trHeight w:val="862" w:hRule="atLeast"/>
        </w:trPr>
        <w:tc>
          <w:tcPr>
            <w:tcW w:w="98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pacing w:before="0" w:after="200"/>
              <w:jc w:val="both"/>
              <w:rPr/>
            </w:pPr>
            <w:r>
              <w:rPr>
                <w:rFonts w:cs="Times New Roman" w:ascii="Times New Roman" w:hAnsi="Times New Roman"/>
                <w:sz w:val="22"/>
                <w:szCs w:val="22"/>
              </w:rPr>
              <w:t xml:space="preserve">Acompanhe as sessões públicas dos Pregões do IF Sertão-PE pelo endereço </w:t>
            </w:r>
            <w:hyperlink r:id="rId4">
              <w:r>
                <w:rPr>
                  <w:rStyle w:val="LinkdaInternet"/>
                  <w:rFonts w:cs="Times New Roman" w:ascii="Times New Roman" w:hAnsi="Times New Roman"/>
                  <w:color w:val="0000FF"/>
                  <w:sz w:val="22"/>
                  <w:szCs w:val="22"/>
                  <w:u w:val="single"/>
                </w:rPr>
                <w:t>www.comprasnet.gov.br</w:t>
              </w:r>
            </w:hyperlink>
            <w:r>
              <w:rPr>
                <w:rFonts w:cs="Times New Roman" w:ascii="Times New Roman" w:hAnsi="Times New Roman"/>
                <w:sz w:val="22"/>
                <w:szCs w:val="22"/>
              </w:rPr>
              <w:t xml:space="preserve">, selecionando as opções </w:t>
            </w:r>
            <w:r>
              <w:rPr>
                <w:rFonts w:cs="Times New Roman" w:ascii="Times New Roman" w:hAnsi="Times New Roman"/>
                <w:b/>
                <w:sz w:val="22"/>
                <w:szCs w:val="22"/>
              </w:rPr>
              <w:t xml:space="preserve">Consultas &gt; Pregões &gt; Em andamento </w:t>
            </w:r>
            <w:r>
              <w:rPr>
                <w:rFonts w:cs="Times New Roman" w:ascii="Times New Roman" w:hAnsi="Times New Roman"/>
                <w:b/>
                <w:color w:val="000000"/>
                <w:sz w:val="22"/>
                <w:szCs w:val="22"/>
              </w:rPr>
              <w:t>&gt; Cód. UASG “158149”</w:t>
            </w:r>
            <w:r>
              <w:rPr>
                <w:rFonts w:cs="Times New Roman" w:ascii="Times New Roman" w:hAnsi="Times New Roman"/>
                <w:color w:val="000000"/>
                <w:sz w:val="22"/>
                <w:szCs w:val="22"/>
              </w:rPr>
              <w:t xml:space="preserve">. </w:t>
            </w:r>
            <w:r>
              <w:rPr>
                <w:rFonts w:cs="Times New Roman" w:ascii="Times New Roman" w:hAnsi="Times New Roman"/>
                <w:sz w:val="22"/>
                <w:szCs w:val="22"/>
              </w:rPr>
              <w:t xml:space="preserve">O edital e outros anexos estão disponíveis para download no Comprasnet e também no endereço www.ifsertao-pe.edu.br, opção </w:t>
            </w:r>
            <w:r>
              <w:rPr>
                <w:rFonts w:cs="Times New Roman" w:ascii="Times New Roman" w:hAnsi="Times New Roman"/>
                <w:b/>
                <w:sz w:val="22"/>
                <w:szCs w:val="22"/>
              </w:rPr>
              <w:t>Licitações &gt; Pregão Eletrônico</w:t>
            </w:r>
            <w:r>
              <w:rPr>
                <w:rFonts w:cs="Times New Roman" w:ascii="Times New Roman" w:hAnsi="Times New Roman"/>
                <w:sz w:val="22"/>
                <w:szCs w:val="22"/>
              </w:rPr>
              <w:t>.</w:t>
            </w:r>
          </w:p>
        </w:tc>
      </w:tr>
    </w:tbl>
    <w:p>
      <w:pPr>
        <w:pStyle w:val="Normal"/>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pPr>
      <w:r>
        <w:rPr>
          <w:rFonts w:cs="Times New Roman" w:ascii="Times New Roman" w:hAnsi="Times New Roman"/>
          <w:b/>
          <w:bCs/>
          <w:color w:val="000000"/>
          <w:sz w:val="22"/>
          <w:szCs w:val="22"/>
        </w:rPr>
        <w:t>PREGÃO ELETRÔNICO SRP Nº 01/2019</w:t>
      </w:r>
    </w:p>
    <w:p>
      <w:pPr>
        <w:pStyle w:val="Padro"/>
        <w:jc w:val="center"/>
        <w:rPr/>
      </w:pPr>
      <w:r>
        <w:rPr>
          <w:rFonts w:cs="Times New Roman" w:ascii="Times New Roman" w:hAnsi="Times New Roman"/>
          <w:bCs/>
          <w:color w:val="000000"/>
          <w:sz w:val="22"/>
          <w:szCs w:val="22"/>
        </w:rPr>
        <w:t>(Processo Administrativo nº</w:t>
      </w:r>
      <w:r>
        <w:rPr>
          <w:rFonts w:cs="Arial" w:ascii="Times New Roman" w:hAnsi="Times New Roman"/>
          <w:b/>
          <w:bCs/>
          <w:color w:val="000000"/>
          <w:sz w:val="20"/>
          <w:szCs w:val="20"/>
        </w:rPr>
        <w:t xml:space="preserve"> 23600.000001.2019-17</w:t>
      </w:r>
      <w:r>
        <w:rPr>
          <w:rFonts w:cs="Times New Roman" w:ascii="Times New Roman" w:hAnsi="Times New Roman"/>
          <w:bCs/>
          <w:color w:val="000000"/>
          <w:sz w:val="22"/>
          <w:szCs w:val="22"/>
        </w:rPr>
        <w:t>)</w:t>
      </w:r>
    </w:p>
    <w:p>
      <w:pPr>
        <w:pStyle w:val="Padro"/>
        <w:jc w:val="center"/>
        <w:rPr>
          <w:rFonts w:ascii="Times New Roman" w:hAnsi="Times New Roman" w:cs="Times New Roman"/>
          <w:bCs/>
          <w:color w:val="000000"/>
          <w:sz w:val="22"/>
          <w:szCs w:val="22"/>
        </w:rPr>
      </w:pPr>
      <w:r>
        <w:rPr>
          <w:rFonts w:cs="Times New Roman" w:ascii="Times New Roman" w:hAnsi="Times New Roman"/>
          <w:bCs/>
          <w:color w:val="000000"/>
          <w:sz w:val="22"/>
          <w:szCs w:val="22"/>
        </w:rPr>
      </w:r>
    </w:p>
    <w:p>
      <w:pPr>
        <w:pStyle w:val="Padro"/>
        <w:spacing w:before="0" w:after="120"/>
        <w:ind w:left="0" w:right="-30" w:firstLine="540"/>
        <w:jc w:val="both"/>
        <w:rPr/>
      </w:pPr>
      <w:r>
        <w:rPr>
          <w:rFonts w:cs="Times New Roman" w:ascii="Times New Roman" w:hAnsi="Times New Roman"/>
          <w:color w:val="000000"/>
          <w:sz w:val="22"/>
          <w:szCs w:val="22"/>
        </w:rPr>
        <w:t>Torna-se público, para conhecimento dos interessados, que o(a) Instituto Federal de Educação, Ciência e Tecnologia do Sertão Pernambucano/Reitoria por meio da Diretoria de Licitações  -D</w:t>
      </w:r>
      <w:r>
        <w:rPr>
          <w:rFonts w:eastAsia="Times New Roman" w:cs="Times New Roman" w:ascii="Times New Roman" w:hAnsi="Times New Roman"/>
          <w:color w:val="000000"/>
          <w:sz w:val="22"/>
          <w:szCs w:val="22"/>
          <w:lang w:val="pt-BR" w:eastAsia="pt-BR" w:bidi="ar-SA"/>
        </w:rPr>
        <w:t xml:space="preserve">LIC </w:t>
      </w:r>
      <w:r>
        <w:rPr>
          <w:rStyle w:val="Fontepargpadro1"/>
          <w:rFonts w:eastAsia="Times New Roman" w:cs="Times New Roman" w:ascii="Times New Roman" w:hAnsi="Times New Roman"/>
          <w:b w:val="false"/>
          <w:bCs w:val="false"/>
          <w:iCs/>
          <w:color w:val="000000"/>
          <w:spacing w:val="0"/>
          <w:sz w:val="22"/>
          <w:szCs w:val="22"/>
          <w:u w:val="none"/>
          <w:lang w:val="pt-BR" w:eastAsia="pt-BR" w:bidi="ar-SA"/>
        </w:rPr>
        <w:t>Rua Aristarco Lopes, 240, Centro, Petrolina-PE</w:t>
      </w:r>
      <w:r>
        <w:rPr>
          <w:rStyle w:val="Fontepargpadro"/>
          <w:rFonts w:eastAsia="Times New Roman" w:cs="Times New Roman" w:ascii="Times New Roman" w:hAnsi="Times New Roman"/>
          <w:b/>
          <w:bCs/>
          <w:color w:val="000000"/>
          <w:spacing w:val="0"/>
          <w:sz w:val="22"/>
          <w:szCs w:val="22"/>
          <w:u w:val="none"/>
          <w:lang w:val="pt-BR" w:eastAsia="pt-BR" w:bidi="ar-SA"/>
        </w:rPr>
        <w:t>, CEP: 56302-100</w:t>
      </w:r>
      <w:r>
        <w:rPr>
          <w:rFonts w:eastAsia="Times New Roman" w:cs="Times New Roman" w:ascii="Times New Roman" w:hAnsi="Times New Roman"/>
          <w:color w:val="000000"/>
          <w:sz w:val="22"/>
          <w:szCs w:val="22"/>
          <w:lang w:val="pt-BR" w:eastAsia="pt-BR" w:bidi="ar-SA"/>
        </w:rPr>
        <w:t>, realizará licitação para REGISTRO DE</w:t>
      </w:r>
      <w:r>
        <w:rPr>
          <w:rFonts w:cs="Times New Roman" w:ascii="Times New Roman" w:hAnsi="Times New Roman"/>
          <w:color w:val="000000"/>
          <w:sz w:val="22"/>
          <w:szCs w:val="22"/>
        </w:rPr>
        <w:t xml:space="preserve"> PREÇOS, na modalidade </w:t>
      </w:r>
      <w:r>
        <w:rPr>
          <w:rFonts w:cs="Times New Roman" w:ascii="Times New Roman" w:hAnsi="Times New Roman"/>
          <w:bCs/>
          <w:color w:val="000000"/>
          <w:sz w:val="22"/>
          <w:szCs w:val="22"/>
        </w:rPr>
        <w:t xml:space="preserve">PREGÃO, </w:t>
      </w:r>
      <w:r>
        <w:rPr>
          <w:rFonts w:cs="Times New Roman" w:ascii="Times New Roman" w:hAnsi="Times New Roman"/>
          <w:color w:val="000000"/>
          <w:sz w:val="22"/>
          <w:szCs w:val="22"/>
        </w:rPr>
        <w:t>na forma</w:t>
      </w:r>
      <w:r>
        <w:rPr>
          <w:rFonts w:cs="Times New Roman" w:ascii="Times New Roman" w:hAnsi="Times New Roman"/>
          <w:bCs/>
          <w:color w:val="000000"/>
          <w:sz w:val="22"/>
          <w:szCs w:val="22"/>
        </w:rPr>
        <w:t xml:space="preserve"> ELETRÔNICA, </w:t>
      </w:r>
      <w:r>
        <w:rPr>
          <w:rFonts w:cs="Times New Roman" w:ascii="Times New Roman" w:hAnsi="Times New Roman"/>
          <w:b/>
          <w:bCs/>
          <w:color w:val="000000"/>
          <w:sz w:val="22"/>
          <w:szCs w:val="22"/>
        </w:rPr>
        <w:t>do</w:t>
      </w:r>
      <w:r>
        <w:rPr>
          <w:rFonts w:cs="Times New Roman" w:ascii="Times New Roman" w:hAnsi="Times New Roman"/>
          <w:b/>
          <w:color w:val="000000"/>
          <w:sz w:val="22"/>
          <w:szCs w:val="22"/>
        </w:rPr>
        <w:t xml:space="preserve"> </w:t>
      </w:r>
      <w:r>
        <w:rPr>
          <w:rFonts w:cs="Times New Roman" w:ascii="Times New Roman" w:hAnsi="Times New Roman"/>
          <w:b/>
          <w:bCs/>
          <w:iCs/>
          <w:color w:val="000000"/>
          <w:sz w:val="22"/>
          <w:szCs w:val="22"/>
        </w:rPr>
        <w:t>tipo menor preço</w:t>
      </w:r>
      <w:r>
        <w:rPr>
          <w:rFonts w:cs="Times New Roman" w:ascii="Times New Roman" w:hAnsi="Times New Roman"/>
          <w:b/>
          <w:bCs/>
          <w:color w:val="000000"/>
          <w:sz w:val="22"/>
          <w:szCs w:val="22"/>
        </w:rPr>
        <w:t>,</w:t>
      </w:r>
      <w:r>
        <w:rPr>
          <w:rFonts w:cs="Times New Roman" w:ascii="Times New Roman" w:hAnsi="Times New Roman"/>
          <w:color w:val="000000"/>
          <w:sz w:val="22"/>
          <w:szCs w:val="22"/>
        </w:rPr>
        <w:t xml:space="preserve"> nos termos da Lei nº 10.520, de 17 de julho de 2002, do Decreto nº 5.450, de 31 de maio de 2005, do Decreto nº 7.892, de 23 de janeiro de 2013, da Instrução Normativa</w:t>
      </w:r>
      <w:r>
        <w:rPr>
          <w:rFonts w:cs="Times New Roman" w:ascii="Times New Roman" w:hAnsi="Times New Roman"/>
          <w:b w:val="false"/>
          <w:bCs w:val="false"/>
          <w:color w:val="000000"/>
          <w:sz w:val="22"/>
          <w:szCs w:val="22"/>
          <w:shd w:fill="FFFFFF" w:val="clear"/>
        </w:rPr>
        <w:t xml:space="preserve"> IN SEGES/MP nº 03, de 26 de abril de 2018</w:t>
      </w:r>
      <w:r>
        <w:rPr>
          <w:rFonts w:cs="Times New Roman" w:ascii="Times New Roman" w:hAnsi="Times New Roman"/>
          <w:color w:val="000000"/>
          <w:sz w:val="22"/>
          <w:szCs w:val="22"/>
        </w:rPr>
        <w:t xml:space="preserve">, da Lei Complementar n° 123, de 14 de dezembro de 2006, da Lei nº 11.488, de 15 de junho de 2007, do Decreto n° 8.538, de 06 de outubro de 2015, aplicando-se, subsidiariamente, a Lei nº 8.666, de 21 de junho de 1993, </w:t>
      </w:r>
      <w:bookmarkStart w:id="4" w:name="_GoBack"/>
      <w:bookmarkEnd w:id="4"/>
      <w:r>
        <w:rPr>
          <w:rFonts w:cs="Times New Roman" w:ascii="Times New Roman" w:hAnsi="Times New Roman"/>
          <w:color w:val="000000"/>
          <w:sz w:val="22"/>
          <w:szCs w:val="22"/>
        </w:rPr>
        <w:t>e as exigências estabelecidas neste Edital.</w:t>
      </w:r>
    </w:p>
    <w:p>
      <w:pPr>
        <w:pStyle w:val="Padro"/>
        <w:rPr/>
      </w:pPr>
      <w:r>
        <w:rPr>
          <w:rFonts w:cs="Times New Roman" w:ascii="Times New Roman" w:hAnsi="Times New Roman"/>
          <w:b/>
          <w:bCs/>
          <w:color w:val="000000"/>
          <w:sz w:val="22"/>
          <w:szCs w:val="22"/>
        </w:rPr>
        <w:t>Data da sessão:</w:t>
      </w:r>
      <w:r>
        <w:rPr>
          <w:rFonts w:cs="Times New Roman" w:ascii="Times New Roman" w:hAnsi="Times New Roman"/>
          <w:color w:val="000000"/>
          <w:sz w:val="22"/>
          <w:szCs w:val="22"/>
        </w:rPr>
        <w:t xml:space="preserve"> XX/XX/2019</w:t>
      </w:r>
    </w:p>
    <w:p>
      <w:pPr>
        <w:pStyle w:val="Padro"/>
        <w:rPr/>
      </w:pPr>
      <w:r>
        <w:rPr>
          <w:rFonts w:cs="Times New Roman" w:ascii="Times New Roman" w:hAnsi="Times New Roman"/>
          <w:b/>
          <w:bCs/>
          <w:color w:val="000000"/>
          <w:sz w:val="22"/>
          <w:szCs w:val="22"/>
        </w:rPr>
        <w:t xml:space="preserve">Horário: </w:t>
      </w:r>
      <w:r>
        <w:rPr>
          <w:rFonts w:cs="Times New Roman" w:ascii="Times New Roman" w:hAnsi="Times New Roman"/>
          <w:color w:val="000000"/>
          <w:sz w:val="22"/>
          <w:szCs w:val="22"/>
        </w:rPr>
        <w:t>XX</w:t>
      </w:r>
      <w:r>
        <w:rPr>
          <w:rFonts w:cs="Times New Roman" w:ascii="Times New Roman" w:hAnsi="Times New Roman"/>
          <w:b/>
          <w:bCs/>
          <w:color w:val="000000"/>
          <w:sz w:val="22"/>
          <w:szCs w:val="22"/>
        </w:rPr>
        <w:t>00min (Horário de Brasília)</w:t>
      </w:r>
    </w:p>
    <w:p>
      <w:pPr>
        <w:pStyle w:val="Padro"/>
        <w:rPr/>
      </w:pPr>
      <w:r>
        <w:rPr>
          <w:rFonts w:cs="Times New Roman" w:ascii="Times New Roman" w:hAnsi="Times New Roman"/>
          <w:b/>
          <w:bCs/>
          <w:color w:val="000000"/>
          <w:sz w:val="22"/>
          <w:szCs w:val="22"/>
        </w:rPr>
        <w:t>Local:</w:t>
      </w:r>
      <w:r>
        <w:rPr>
          <w:rFonts w:cs="Times New Roman" w:ascii="Times New Roman" w:hAnsi="Times New Roman"/>
          <w:b w:val="false"/>
          <w:bCs w:val="false"/>
          <w:color w:val="000000"/>
          <w:sz w:val="22"/>
          <w:szCs w:val="22"/>
        </w:rPr>
        <w:t xml:space="preserve"> </w:t>
      </w:r>
      <w:r>
        <w:rPr>
          <w:rFonts w:cs="Times New Roman" w:ascii="Times New Roman" w:hAnsi="Times New Roman"/>
          <w:color w:val="000000"/>
          <w:sz w:val="22"/>
          <w:szCs w:val="22"/>
        </w:rPr>
        <w:t xml:space="preserve">Portal de Compras do Governo Federal – </w:t>
      </w:r>
      <w:hyperlink r:id="rId5">
        <w:r>
          <w:rPr>
            <w:rStyle w:val="LinkdaInternet"/>
          </w:rPr>
          <w:t>www.comprasgovernamentais.gov.br</w:t>
        </w:r>
      </w:hyperlink>
    </w:p>
    <w:p>
      <w:pPr>
        <w:pStyle w:val="Padro"/>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Padro"/>
        <w:numPr>
          <w:ilvl w:val="0"/>
          <w:numId w:val="1"/>
        </w:numPr>
        <w:spacing w:before="0" w:after="120"/>
        <w:ind w:left="0" w:right="-15"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DO OBJETO</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objeto da presente licitação é o registro de preços de Aquisição de Gêneros Alimentícios, conforme condições, quantidades e exigências estabelecidas neste Edital e seus anexos.</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licitação será dividida em grupos, formados por um ou mais itens, conforme tabela constante no Termo de Referência, facultando-se ao licitante a participação em quantos grupos forem de seu interesse, devendo oferecer proposta para todos os itens que o compõem.</w:t>
      </w:r>
    </w:p>
    <w:p>
      <w:pPr>
        <w:pStyle w:val="Padro"/>
        <w:numPr>
          <w:ilvl w:val="0"/>
          <w:numId w:val="1"/>
        </w:numPr>
        <w:spacing w:before="120" w:after="120"/>
        <w:ind w:left="0" w:right="0" w:hanging="0"/>
        <w:jc w:val="both"/>
        <w:rPr>
          <w:rFonts w:ascii="Times New Roman" w:hAnsi="Times New Roman" w:cs="Times New Roman"/>
          <w:b/>
          <w:b/>
          <w:color w:val="000000"/>
          <w:sz w:val="22"/>
          <w:szCs w:val="22"/>
        </w:rPr>
      </w:pPr>
      <w:bookmarkStart w:id="5" w:name="__DdeLink__2417_2034568139"/>
      <w:bookmarkEnd w:id="5"/>
      <w:r>
        <w:rPr>
          <w:rFonts w:cs="Times New Roman" w:ascii="Times New Roman" w:hAnsi="Times New Roman"/>
          <w:b/>
          <w:color w:val="000000"/>
          <w:sz w:val="22"/>
          <w:szCs w:val="22"/>
        </w:rPr>
        <w:t>DO ÓRGÃO GERENCIADOR E ÓRGÃOS PARTICIPANTES</w:t>
      </w:r>
    </w:p>
    <w:p>
      <w:pPr>
        <w:pStyle w:val="Padro"/>
        <w:numPr>
          <w:ilvl w:val="1"/>
          <w:numId w:val="1"/>
        </w:numPr>
        <w:spacing w:before="120" w:after="120"/>
        <w:jc w:val="both"/>
        <w:rPr/>
      </w:pPr>
      <w:r>
        <w:rPr>
          <w:rFonts w:cs="Times New Roman" w:ascii="Times New Roman" w:hAnsi="Times New Roman"/>
          <w:color w:val="000000"/>
          <w:sz w:val="22"/>
          <w:szCs w:val="22"/>
        </w:rPr>
        <w:t>O órgão gerenciador será o IF Sertão PE/ Reitoria.</w:t>
      </w:r>
    </w:p>
    <w:p>
      <w:pPr>
        <w:pStyle w:val="Padro"/>
        <w:numPr>
          <w:ilvl w:val="1"/>
          <w:numId w:val="1"/>
        </w:numPr>
        <w:spacing w:before="120" w:after="120"/>
        <w:jc w:val="both"/>
        <w:rPr>
          <w:rFonts w:ascii="Times New Roman" w:hAnsi="Times New Roman" w:cs="Times New Roman"/>
          <w:b/>
          <w:b/>
          <w:bCs/>
          <w:color w:val="000000"/>
          <w:sz w:val="22"/>
          <w:szCs w:val="22"/>
          <w:highlight w:val="yellow"/>
        </w:rPr>
      </w:pPr>
      <w:r>
        <w:rPr>
          <w:rFonts w:cs="Times New Roman" w:ascii="Times New Roman" w:hAnsi="Times New Roman"/>
          <w:b/>
          <w:bCs/>
          <w:color w:val="000000"/>
          <w:sz w:val="22"/>
          <w:szCs w:val="22"/>
        </w:rPr>
        <w:t>São participantes os seguintes órgãos:</w:t>
      </w:r>
    </w:p>
    <w:p>
      <w:pPr>
        <w:pStyle w:val="Padro"/>
        <w:numPr>
          <w:ilvl w:val="2"/>
          <w:numId w:val="1"/>
        </w:numPr>
        <w:spacing w:before="120" w:after="120"/>
        <w:jc w:val="both"/>
        <w:rPr>
          <w:highlight w:val="yellow"/>
        </w:rPr>
      </w:pPr>
      <w:r>
        <w:rPr>
          <w:rFonts w:cs="Times New Roman" w:ascii="Times New Roman" w:hAnsi="Times New Roman"/>
          <w:color w:val="000000"/>
          <w:sz w:val="22"/>
          <w:szCs w:val="22"/>
        </w:rPr>
        <w:t>IF Sertão PE/Petrolina</w:t>
      </w:r>
    </w:p>
    <w:p>
      <w:pPr>
        <w:pStyle w:val="Padro"/>
        <w:numPr>
          <w:ilvl w:val="2"/>
          <w:numId w:val="1"/>
        </w:numPr>
        <w:spacing w:before="120" w:after="120"/>
        <w:jc w:val="both"/>
        <w:rPr>
          <w:rFonts w:ascii="Times New Roman" w:hAnsi="Times New Roman" w:cs="Times New Roman"/>
          <w:color w:val="000000"/>
          <w:sz w:val="22"/>
          <w:szCs w:val="22"/>
          <w:highlight w:val="yellow"/>
        </w:rPr>
      </w:pPr>
      <w:r>
        <w:rPr>
          <w:rFonts w:cs="Times New Roman" w:ascii="Times New Roman" w:hAnsi="Times New Roman"/>
          <w:color w:val="000000"/>
          <w:sz w:val="22"/>
          <w:szCs w:val="22"/>
        </w:rPr>
        <w:t>IF Sertão PE/Campus Petrolina Zona Rural</w:t>
      </w:r>
    </w:p>
    <w:p>
      <w:pPr>
        <w:pStyle w:val="Padro"/>
        <w:numPr>
          <w:ilvl w:val="2"/>
          <w:numId w:val="1"/>
        </w:numPr>
        <w:spacing w:before="120" w:after="120"/>
        <w:jc w:val="both"/>
        <w:rPr>
          <w:rFonts w:ascii="Times New Roman" w:hAnsi="Times New Roman" w:cs="Times New Roman"/>
          <w:color w:val="000000"/>
          <w:sz w:val="22"/>
          <w:szCs w:val="22"/>
          <w:highlight w:val="yellow"/>
        </w:rPr>
      </w:pPr>
      <w:r>
        <w:rPr>
          <w:rFonts w:cs="Times New Roman" w:ascii="Times New Roman" w:hAnsi="Times New Roman"/>
          <w:color w:val="000000"/>
          <w:sz w:val="22"/>
          <w:szCs w:val="22"/>
        </w:rPr>
        <w:t>IF Sertão PE/Campus Floresta</w:t>
      </w:r>
    </w:p>
    <w:p>
      <w:pPr>
        <w:pStyle w:val="Padro"/>
        <w:numPr>
          <w:ilvl w:val="2"/>
          <w:numId w:val="1"/>
        </w:numPr>
        <w:spacing w:before="120" w:after="120"/>
        <w:jc w:val="both"/>
        <w:rPr>
          <w:rFonts w:ascii="Times New Roman" w:hAnsi="Times New Roman" w:cs="Times New Roman"/>
          <w:color w:val="000000"/>
          <w:sz w:val="22"/>
          <w:szCs w:val="22"/>
          <w:highlight w:val="yellow"/>
        </w:rPr>
      </w:pPr>
      <w:r>
        <w:rPr>
          <w:rFonts w:cs="Times New Roman" w:ascii="Times New Roman" w:hAnsi="Times New Roman"/>
          <w:color w:val="000000"/>
          <w:sz w:val="22"/>
          <w:szCs w:val="22"/>
        </w:rPr>
        <w:t>IF Sertão PE/Campus Ouricuri</w:t>
      </w:r>
    </w:p>
    <w:p>
      <w:pPr>
        <w:pStyle w:val="Padro"/>
        <w:numPr>
          <w:ilvl w:val="2"/>
          <w:numId w:val="1"/>
        </w:numPr>
        <w:spacing w:before="120" w:after="120"/>
        <w:jc w:val="both"/>
        <w:rPr>
          <w:rFonts w:ascii="Times New Roman" w:hAnsi="Times New Roman" w:cs="Times New Roman"/>
          <w:color w:val="000000"/>
          <w:sz w:val="22"/>
          <w:szCs w:val="22"/>
          <w:highlight w:val="yellow"/>
        </w:rPr>
      </w:pPr>
      <w:r>
        <w:rPr>
          <w:rFonts w:cs="Times New Roman" w:ascii="Times New Roman" w:hAnsi="Times New Roman"/>
          <w:color w:val="000000"/>
          <w:sz w:val="22"/>
          <w:szCs w:val="22"/>
        </w:rPr>
        <w:t>IF Sertão PE/Campus Salgueiro</w:t>
      </w:r>
    </w:p>
    <w:p>
      <w:pPr>
        <w:pStyle w:val="Padro"/>
        <w:numPr>
          <w:ilvl w:val="2"/>
          <w:numId w:val="1"/>
        </w:numPr>
        <w:spacing w:before="120" w:after="120"/>
        <w:jc w:val="both"/>
        <w:rPr>
          <w:rFonts w:ascii="Times New Roman" w:hAnsi="Times New Roman" w:cs="Times New Roman"/>
          <w:color w:val="000000"/>
          <w:sz w:val="22"/>
          <w:szCs w:val="22"/>
          <w:highlight w:val="yellow"/>
        </w:rPr>
      </w:pPr>
      <w:r>
        <w:rPr>
          <w:rFonts w:cs="Times New Roman" w:ascii="Times New Roman" w:hAnsi="Times New Roman"/>
          <w:color w:val="000000"/>
          <w:sz w:val="22"/>
          <w:szCs w:val="22"/>
        </w:rPr>
        <w:t>IF Sertão PE/Campus Serra Talhada</w:t>
      </w:r>
    </w:p>
    <w:p>
      <w:pPr>
        <w:pStyle w:val="Padro"/>
        <w:numPr>
          <w:ilvl w:val="2"/>
          <w:numId w:val="1"/>
        </w:numPr>
        <w:spacing w:before="120" w:after="120"/>
        <w:jc w:val="both"/>
        <w:rPr>
          <w:rFonts w:ascii="Times New Roman" w:hAnsi="Times New Roman" w:cs="Times New Roman"/>
          <w:color w:val="000000"/>
          <w:sz w:val="22"/>
          <w:szCs w:val="22"/>
          <w:highlight w:val="yellow"/>
        </w:rPr>
      </w:pPr>
      <w:r>
        <w:rPr>
          <w:rFonts w:cs="Times New Roman" w:ascii="Times New Roman" w:hAnsi="Times New Roman"/>
          <w:color w:val="000000"/>
          <w:sz w:val="22"/>
          <w:szCs w:val="22"/>
        </w:rPr>
        <w:t>IF Sertão PE/Campus Santa Maria da Boa Vista</w:t>
      </w:r>
    </w:p>
    <w:p>
      <w:pPr>
        <w:pStyle w:val="Padro"/>
        <w:numPr>
          <w:ilvl w:val="0"/>
          <w:numId w:val="0"/>
        </w:numPr>
        <w:spacing w:before="120" w:after="120"/>
        <w:ind w:left="1922"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Padro"/>
        <w:numPr>
          <w:ilvl w:val="0"/>
          <w:numId w:val="1"/>
        </w:numPr>
        <w:spacing w:before="120" w:after="120"/>
        <w:ind w:left="0" w:right="0" w:hanging="0"/>
        <w:jc w:val="both"/>
        <w:rPr>
          <w:rFonts w:ascii="Times New Roman" w:hAnsi="Times New Roman" w:cs="Times New Roman"/>
          <w:b/>
          <w:b/>
          <w:sz w:val="22"/>
          <w:szCs w:val="22"/>
          <w:lang w:eastAsia="en-US"/>
        </w:rPr>
      </w:pPr>
      <w:r>
        <w:rPr>
          <w:rFonts w:cs="Times New Roman" w:ascii="Times New Roman" w:hAnsi="Times New Roman"/>
          <w:b/>
          <w:sz w:val="22"/>
          <w:szCs w:val="22"/>
          <w:lang w:eastAsia="en-US"/>
        </w:rPr>
        <w:t xml:space="preserve">DA ADESÃO À ATA DE REGISTRO DE PREÇOS </w:t>
      </w:r>
    </w:p>
    <w:p>
      <w:pPr>
        <w:pStyle w:val="ListParagraph"/>
        <w:widowControl/>
        <w:numPr>
          <w:ilvl w:val="0"/>
          <w:numId w:val="0"/>
        </w:numPr>
        <w:bidi w:val="0"/>
        <w:snapToGrid w:val="false"/>
        <w:spacing w:lineRule="auto" w:line="276" w:before="120" w:after="120"/>
        <w:ind w:left="1095" w:right="0" w:hanging="0"/>
        <w:contextualSpacing/>
        <w:jc w:val="both"/>
        <w:rPr>
          <w:rFonts w:ascii="Times New Roman" w:hAnsi="Times New Roman" w:eastAsia="Times New Roman" w:cs="Times New Roman"/>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3.1</w:t>
      </w:r>
      <w:r>
        <w:rPr>
          <w:rFonts w:eastAsia="Times New Roman" w:cs="Times New Roman" w:ascii="Times New Roman" w:hAnsi="Times New Roman"/>
          <w:i w:val="false"/>
          <w:iCs w:val="false"/>
          <w:color w:val="000000"/>
          <w:sz w:val="22"/>
          <w:szCs w:val="22"/>
          <w:lang w:val="pt-BR" w:eastAsia="pt-BR" w:bidi="ar-SA"/>
        </w:rPr>
        <w:t>.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Normal"/>
        <w:numPr>
          <w:ilvl w:val="0"/>
          <w:numId w:val="0"/>
        </w:numPr>
        <w:spacing w:lineRule="auto" w:line="276" w:before="120" w:after="120"/>
        <w:ind w:left="375" w:hanging="0"/>
        <w:jc w:val="both"/>
        <w:rPr>
          <w:rFonts w:ascii="Arial" w:hAnsi="Arial" w:cs="Arial"/>
          <w:i w:val="false"/>
          <w:i w:val="false"/>
          <w:iCs w:val="false"/>
          <w:color w:val="000000"/>
          <w:sz w:val="20"/>
          <w:szCs w:val="20"/>
        </w:rPr>
      </w:pPr>
      <w:r>
        <w:rPr>
          <w:rFonts w:eastAsia="Times New Roman" w:cs="Times New Roman" w:ascii="Times New Roman" w:hAnsi="Times New Roman"/>
          <w:b/>
          <w:bCs/>
          <w:i w:val="false"/>
          <w:iCs w:val="false"/>
          <w:color w:val="000000"/>
          <w:sz w:val="22"/>
          <w:szCs w:val="22"/>
          <w:lang w:val="pt-BR" w:eastAsia="pt-BR" w:bidi="ar-SA"/>
        </w:rPr>
        <w:t>3.2.</w:t>
      </w:r>
      <w:r>
        <w:rPr>
          <w:rFonts w:eastAsia="Times New Roman" w:cs="Times New Roman" w:ascii="Times New Roman" w:hAnsi="Times New Roman"/>
          <w:i w:val="false"/>
          <w:iCs w:val="false"/>
          <w:color w:val="000000"/>
          <w:sz w:val="22"/>
          <w:szCs w:val="22"/>
          <w:lang w:val="pt-BR" w:eastAsia="pt-BR" w:bidi="ar-SA"/>
        </w:rPr>
        <w:t xml:space="preserve"> Caberá ao fornecedor beneficiário da Ata de Registro de Preços, observadas as condições nela estabelecidas, optar pela aceitação ou não do fornecimento, desde que este fornecimento</w:t>
      </w:r>
      <w:r>
        <w:rPr>
          <w:rFonts w:cs="Arial" w:ascii="Arial" w:hAnsi="Arial"/>
          <w:i w:val="false"/>
          <w:iCs w:val="false"/>
          <w:color w:val="000000"/>
          <w:sz w:val="20"/>
          <w:szCs w:val="20"/>
        </w:rPr>
        <w:t xml:space="preserve"> não </w:t>
      </w:r>
      <w:r>
        <w:rPr>
          <w:rFonts w:eastAsia="Times New Roman" w:cs="Times New Roman" w:ascii="Times New Roman" w:hAnsi="Times New Roman"/>
          <w:i w:val="false"/>
          <w:iCs w:val="false"/>
          <w:color w:val="000000"/>
          <w:sz w:val="22"/>
          <w:szCs w:val="22"/>
          <w:lang w:val="pt-BR" w:eastAsia="pt-BR" w:bidi="ar-SA"/>
        </w:rPr>
        <w:t>prejudique as obrigações anteriormente assumidas com o órgão gerenciador e órgãos participantes.</w:t>
      </w:r>
    </w:p>
    <w:p>
      <w:pPr>
        <w:pStyle w:val="Normal"/>
        <w:numPr>
          <w:ilvl w:val="0"/>
          <w:numId w:val="0"/>
        </w:numPr>
        <w:spacing w:lineRule="auto" w:line="276" w:before="120" w:after="120"/>
        <w:ind w:left="375" w:hanging="0"/>
        <w:jc w:val="both"/>
        <w:rPr>
          <w:rFonts w:ascii="Times New Roman" w:hAnsi="Times New Roman" w:eastAsia="Times New Roman" w:cs="Times New Roman"/>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3.3.</w:t>
      </w:r>
      <w:r>
        <w:rPr>
          <w:rFonts w:eastAsia="Times New Roman" w:cs="Times New Roman" w:ascii="Times New Roman" w:hAnsi="Times New Roman"/>
          <w:i w:val="false"/>
          <w:iCs w:val="false"/>
          <w:color w:val="000000"/>
          <w:sz w:val="22"/>
          <w:szCs w:val="22"/>
          <w:lang w:val="pt-BR" w:eastAsia="pt-BR" w:bidi="ar-SA"/>
        </w:rPr>
        <w:t xml:space="preserve"> As aquisições ou contratações adicionais a que se refere este item não poderão exceder, por órgão ou entidade, a CINQUENTA POR CENTO dos quantitativos dos itens do instrumento convocatório e registrados na ata de registro de preços para o órgão gerenciador e para os órgãos participantes.</w:t>
      </w:r>
    </w:p>
    <w:p>
      <w:pPr>
        <w:pStyle w:val="Normal"/>
        <w:numPr>
          <w:ilvl w:val="0"/>
          <w:numId w:val="0"/>
        </w:numPr>
        <w:spacing w:lineRule="auto" w:line="276" w:before="120" w:after="120"/>
        <w:ind w:left="375" w:hanging="0"/>
        <w:jc w:val="both"/>
        <w:rPr>
          <w:rFonts w:ascii="Times New Roman" w:hAnsi="Times New Roman" w:eastAsia="Times New Roman" w:cs="Times New Roman"/>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3.4.</w:t>
      </w:r>
      <w:r>
        <w:rPr>
          <w:rFonts w:eastAsia="Times New Roman" w:cs="Times New Roman" w:ascii="Times New Roman" w:hAnsi="Times New Roman"/>
          <w:i w:val="false"/>
          <w:iCs w:val="false"/>
          <w:color w:val="000000"/>
          <w:sz w:val="22"/>
          <w:szCs w:val="22"/>
          <w:lang w:val="pt-BR" w:eastAsia="pt-BR" w:bidi="ar-SA"/>
        </w:rPr>
        <w:t xml:space="preserve"> </w:t>
      </w:r>
      <w:bookmarkStart w:id="6" w:name="__DdeLink__15048_1834615441"/>
      <w:r>
        <w:rPr>
          <w:rFonts w:eastAsia="Times New Roman" w:cs="Times New Roman" w:ascii="Times New Roman" w:hAnsi="Times New Roman"/>
          <w:i w:val="false"/>
          <w:iCs w:val="false"/>
          <w:color w:val="000000"/>
          <w:sz w:val="22"/>
          <w:szCs w:val="22"/>
          <w:lang w:val="pt-BR" w:eastAsia="pt-BR" w:bidi="ar-SA"/>
        </w:rPr>
        <w:t>As adesões à ata de registro de preços são limitadas, na totalidade, ao DOBRO do quantitativo de cada item registrado na ata de registro de preços para o órgão gerenciador e para os órgãos participantes, independentemente do número de órgãos não participantes que aderirem</w:t>
      </w:r>
      <w:bookmarkEnd w:id="6"/>
      <w:r>
        <w:rPr>
          <w:rFonts w:eastAsia="Times New Roman" w:cs="Times New Roman" w:ascii="Times New Roman" w:hAnsi="Times New Roman"/>
          <w:i w:val="false"/>
          <w:iCs w:val="false"/>
          <w:color w:val="000000"/>
          <w:sz w:val="22"/>
          <w:szCs w:val="22"/>
          <w:lang w:val="pt-BR" w:eastAsia="pt-BR" w:bidi="ar-SA"/>
        </w:rPr>
        <w:t>.</w:t>
      </w:r>
    </w:p>
    <w:p>
      <w:pPr>
        <w:pStyle w:val="Normal"/>
        <w:numPr>
          <w:ilvl w:val="0"/>
          <w:numId w:val="0"/>
        </w:numPr>
        <w:spacing w:lineRule="auto" w:line="276" w:before="120" w:after="120"/>
        <w:ind w:left="375" w:hanging="0"/>
        <w:jc w:val="both"/>
        <w:rPr>
          <w:rFonts w:ascii="Times New Roman" w:hAnsi="Times New Roman" w:eastAsia="Times New Roman" w:cs="Times New Roman"/>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3.5.</w:t>
      </w:r>
      <w:r>
        <w:rPr>
          <w:rFonts w:eastAsia="Times New Roman" w:cs="Times New Roman" w:ascii="Times New Roman" w:hAnsi="Times New Roman"/>
          <w:i w:val="false"/>
          <w:iCs w:val="false"/>
          <w:color w:val="000000"/>
          <w:sz w:val="22"/>
          <w:szCs w:val="22"/>
          <w:lang w:val="pt-BR" w:eastAsia="pt-BR" w:bidi="ar-SA"/>
        </w:rPr>
        <w:t xml:space="preserve">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0"/>
          <w:numId w:val="0"/>
        </w:numPr>
        <w:spacing w:lineRule="auto" w:line="276" w:before="120" w:after="120"/>
        <w:ind w:left="375" w:hanging="0"/>
        <w:jc w:val="both"/>
        <w:rPr>
          <w:rFonts w:ascii="Times New Roman" w:hAnsi="Times New Roman" w:eastAsia="Times New Roman" w:cs="Times New Roman"/>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3.6.</w:t>
      </w:r>
      <w:r>
        <w:rPr>
          <w:rFonts w:eastAsia="Times New Roman" w:cs="Times New Roman" w:ascii="Times New Roman" w:hAnsi="Times New Roman"/>
          <w:i w:val="false"/>
          <w:iCs w:val="false"/>
          <w:color w:val="000000"/>
          <w:sz w:val="22"/>
          <w:szCs w:val="22"/>
          <w:lang w:val="pt-BR" w:eastAsia="pt-BR" w:bidi="ar-SA"/>
        </w:rPr>
        <w:t xml:space="preserve"> Após a autorização do órgão gerenciador, o órgão não participante deverá efetivar a contratação solicitada em até noventa dias, observado o prazo de validade da Ata de Registro de Preços.</w:t>
      </w:r>
    </w:p>
    <w:p>
      <w:pPr>
        <w:pStyle w:val="Normal"/>
        <w:widowControl/>
        <w:numPr>
          <w:ilvl w:val="0"/>
          <w:numId w:val="0"/>
        </w:numPr>
        <w:overflowPunct w:val="true"/>
        <w:bidi w:val="0"/>
        <w:spacing w:lineRule="auto" w:line="276" w:before="120" w:after="120"/>
        <w:ind w:left="96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r>
        <w:rPr>
          <w:rFonts w:eastAsia="Times New Roman" w:cs="Times New Roman" w:ascii="Times New Roman" w:hAnsi="Times New Roman"/>
          <w:b w:val="false"/>
          <w:bCs w:val="false"/>
          <w:i w:val="false"/>
          <w:iCs w:val="false"/>
          <w:color w:val="000000"/>
          <w:sz w:val="22"/>
          <w:szCs w:val="22"/>
          <w:lang w:val="pt-BR" w:eastAsia="pt-BR" w:bidi="ar-SA"/>
        </w:rPr>
        <w:t>3.6.1 Caberá ao órgão gerenciador autorizar, excepcional e justificadamente, a prorrogação  do prazo para efetivação da contratação, respeitado o prazo de vigência da ata, desde que solicitada pelo órgão não participante.</w:t>
      </w:r>
    </w:p>
    <w:p>
      <w:pPr>
        <w:pStyle w:val="Padro"/>
        <w:spacing w:before="0" w:after="120"/>
        <w:ind w:left="0" w:right="-15"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1"/>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DO CREDENCIAMENTO</w:t>
      </w:r>
    </w:p>
    <w:p>
      <w:pPr>
        <w:pStyle w:val="Padro"/>
        <w:numPr>
          <w:ilvl w:val="1"/>
          <w:numId w:val="1"/>
        </w:numPr>
        <w:spacing w:before="120" w:after="120"/>
        <w:ind w:left="425" w:right="0" w:hanging="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O Credenciamento é o nível básico do registro cadastral no SICAF, que permite a participação dos interessados na modalidade licitatória Pregão, em sua forma eletrônica.</w:t>
      </w:r>
    </w:p>
    <w:p>
      <w:pPr>
        <w:pStyle w:val="Padro"/>
        <w:numPr>
          <w:ilvl w:val="1"/>
          <w:numId w:val="1"/>
        </w:numPr>
        <w:spacing w:before="120" w:after="120"/>
        <w:ind w:left="425" w:right="0" w:hanging="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O cadastro no SICAF poderá ser iniciado no Portal de Compras do Governo Federal, no sítio www.comprasgovernamentais.gov.br, com a solicitação de login e senha pelo interessado.</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credenciamento junto ao provedor do sistema implica a responsabilidade do licitante ou de seu representante legal e a presunção de sua capacidade técnica para realização das transações inerentes a este Pregão.</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pPr>
        <w:pStyle w:val="Padro"/>
        <w:numPr>
          <w:ilvl w:val="1"/>
          <w:numId w:val="1"/>
        </w:numPr>
        <w:spacing w:before="120" w:after="120"/>
        <w:ind w:left="425" w:right="0" w:hanging="0"/>
        <w:jc w:val="both"/>
        <w:rPr/>
      </w:pPr>
      <w:r>
        <w:rPr>
          <w:rFonts w:cs="Times New Roman" w:ascii="Times New Roman" w:hAnsi="Times New Roman"/>
          <w:color w:val="000000"/>
          <w:sz w:val="22"/>
          <w:szCs w:val="22"/>
          <w:lang w:eastAsia="en-US"/>
        </w:rPr>
        <w:t>A perda da senha ou a quebra de sigilo deverão ser comunicadas imediatamente ao provedor do sistema para imediato bloqueio de acesso.</w:t>
      </w:r>
    </w:p>
    <w:p>
      <w:pPr>
        <w:pStyle w:val="Padro"/>
        <w:numPr>
          <w:ilvl w:val="0"/>
          <w:numId w:val="1"/>
        </w:numPr>
        <w:spacing w:before="120" w:after="120"/>
        <w:ind w:left="0"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t>DA PARTICIPAÇÃO NO PREGÃO</w:t>
      </w:r>
    </w:p>
    <w:p>
      <w:pPr>
        <w:pStyle w:val="Padro"/>
        <w:widowControl/>
        <w:numPr>
          <w:ilvl w:val="1"/>
          <w:numId w:val="1"/>
        </w:numPr>
        <w:tabs>
          <w:tab w:val="left" w:pos="567" w:leader="none"/>
        </w:tabs>
        <w:suppressAutoHyphens w:val="true"/>
        <w:overflowPunct w:val="true"/>
        <w:bidi w:val="0"/>
        <w:spacing w:before="120" w:after="120"/>
        <w:ind w:left="454" w:right="0" w:hanging="0"/>
        <w:jc w:val="both"/>
        <w:rPr/>
      </w:pPr>
      <w:r>
        <w:rPr>
          <w:rFonts w:cs="Times New Roman" w:ascii="Times New Roman" w:hAnsi="Times New Roman"/>
          <w:bCs/>
          <w:color w:val="000000"/>
          <w:sz w:val="22"/>
          <w:szCs w:val="22"/>
        </w:rPr>
        <w:t>Poderão participar deste Pregão interessados cujo ramo de atividade seja compatível com o objeto desta licitação, e que estejam com Credenciamento regular no</w:t>
      </w:r>
      <w:r>
        <w:rPr>
          <w:rFonts w:cs="Times New Roman" w:ascii="Times New Roman" w:hAnsi="Times New Roman"/>
          <w:color w:val="000000"/>
          <w:sz w:val="22"/>
          <w:szCs w:val="22"/>
        </w:rPr>
        <w:t xml:space="preserve"> Sistema de Cadastramento Unificado de Fornecedores – SICAF,</w:t>
      </w:r>
      <w:r>
        <w:rPr>
          <w:rFonts w:cs="Times New Roman" w:ascii="Times New Roman" w:hAnsi="Times New Roman"/>
          <w:color w:val="000000"/>
          <w:sz w:val="22"/>
          <w:szCs w:val="22"/>
          <w:highlight w:val="yellow"/>
        </w:rPr>
        <w:t xml:space="preserve"> conforme disposto no </w:t>
      </w:r>
      <w:r>
        <w:rPr>
          <w:rFonts w:cs="Times New Roman" w:ascii="Times New Roman" w:hAnsi="Times New Roman"/>
          <w:color w:val="000000"/>
          <w:sz w:val="22"/>
          <w:szCs w:val="22"/>
          <w:shd w:fill="FFFF00" w:val="clear"/>
        </w:rPr>
        <w:t xml:space="preserve">§5º, artigo 6º da </w:t>
      </w:r>
      <w:r>
        <w:rPr>
          <w:rFonts w:cs="Times New Roman" w:ascii="Times New Roman" w:hAnsi="Times New Roman"/>
          <w:color w:val="000000"/>
          <w:sz w:val="22"/>
          <w:szCs w:val="22"/>
          <w:highlight w:val="yellow"/>
          <w:shd w:fill="FFFF00" w:val="clear"/>
        </w:rPr>
        <w:t>IN SEGES/MP nº 03/2018.</w:t>
      </w:r>
    </w:p>
    <w:p>
      <w:pPr>
        <w:pStyle w:val="Padro"/>
        <w:widowControl/>
        <w:numPr>
          <w:ilvl w:val="0"/>
          <w:numId w:val="0"/>
        </w:numPr>
        <w:tabs>
          <w:tab w:val="left" w:pos="567" w:leader="none"/>
        </w:tabs>
        <w:suppressAutoHyphens w:val="true"/>
        <w:overflowPunct w:val="true"/>
        <w:bidi w:val="0"/>
        <w:spacing w:before="120" w:after="120"/>
        <w:ind w:left="2615" w:right="0" w:hanging="0"/>
        <w:jc w:val="both"/>
        <w:rPr/>
      </w:pPr>
      <w:r>
        <w:rPr>
          <w:rFonts w:cs="Times New Roman" w:ascii="Times New Roman" w:hAnsi="Times New Roman"/>
          <w:color w:val="000000"/>
          <w:sz w:val="22"/>
          <w:szCs w:val="22"/>
          <w:highlight w:val="yellow"/>
          <w:shd w:fill="FFFF00" w:val="clear"/>
        </w:rPr>
        <w:t xml:space="preserve"> </w:t>
      </w:r>
      <w:r>
        <w:rPr>
          <w:rFonts w:cs="Times New Roman" w:ascii="Times New Roman" w:hAnsi="Times New Roman"/>
          <w:color w:val="000000"/>
          <w:sz w:val="22"/>
          <w:szCs w:val="22"/>
          <w:highlight w:val="yellow"/>
          <w:shd w:fill="FFFF00" w:val="clear"/>
        </w:rPr>
        <w:t>5.1.2 para participar do pregão eletrônico, o credenciamento da empresa deverá estar regular e os fornecedores/prestadores de serviço deverão utilizar o certificado digital para acesso ao sistema do SICAF.</w:t>
      </w:r>
    </w:p>
    <w:p>
      <w:pPr>
        <w:pStyle w:val="Padro"/>
        <w:numPr>
          <w:ilvl w:val="1"/>
          <w:numId w:val="1"/>
        </w:numPr>
        <w:spacing w:before="120" w:after="120"/>
        <w:ind w:left="425" w:right="0" w:hanging="0"/>
        <w:jc w:val="both"/>
        <w:rPr/>
      </w:pPr>
      <w:r>
        <w:rPr>
          <w:rFonts w:cs="Times New Roman" w:ascii="Times New Roman" w:hAnsi="Times New Roman"/>
          <w:bCs/>
          <w:iCs/>
          <w:color w:val="000000"/>
          <w:sz w:val="22"/>
          <w:szCs w:val="22"/>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Padro"/>
        <w:numPr>
          <w:ilvl w:val="2"/>
          <w:numId w:val="1"/>
        </w:numPr>
        <w:spacing w:before="120" w:after="120"/>
        <w:ind w:left="1134" w:right="0" w:hanging="0"/>
        <w:jc w:val="both"/>
        <w:rPr>
          <w:b/>
          <w:b/>
          <w:bCs/>
        </w:rPr>
      </w:pPr>
      <w:r>
        <w:rPr>
          <w:rFonts w:cs="Times New Roman" w:ascii="Times New Roman" w:hAnsi="Times New Roman"/>
          <w:b/>
          <w:bCs/>
          <w:iCs/>
          <w:color w:val="00000A"/>
          <w:sz w:val="22"/>
          <w:szCs w:val="22"/>
        </w:rPr>
        <w:t>Em relação aos grupos 01, 07, 08, 10, 12, 18, 20, 22, 23, 24, 25, 27, 28, 29, 31, 34, 36, 37, 38, 39 e ao item 390 a</w:t>
      </w:r>
      <w:r>
        <w:rPr>
          <w:rFonts w:cs="Times New Roman" w:ascii="Times New Roman" w:hAnsi="Times New Roman"/>
          <w:b/>
          <w:bCs/>
          <w:color w:val="00000A"/>
          <w:sz w:val="22"/>
          <w:szCs w:val="22"/>
        </w:rPr>
        <w:t xml:space="preserve"> participação é exclusiva a microempresas e empresas de pequeno porte.</w:t>
      </w:r>
    </w:p>
    <w:p>
      <w:pPr>
        <w:pStyle w:val="Padro"/>
        <w:numPr>
          <w:ilvl w:val="1"/>
          <w:numId w:val="1"/>
        </w:numPr>
        <w:spacing w:before="120" w:after="120"/>
        <w:ind w:left="425"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Não poderão participar desta licitação interessados:</w:t>
      </w:r>
    </w:p>
    <w:p>
      <w:pPr>
        <w:pStyle w:val="Padro"/>
        <w:numPr>
          <w:ilvl w:val="2"/>
          <w:numId w:val="1"/>
        </w:numPr>
        <w:spacing w:before="120" w:after="120"/>
        <w:ind w:left="1134" w:right="0" w:hanging="0"/>
        <w:jc w:val="both"/>
        <w:rPr>
          <w:rFonts w:ascii="Times New Roman" w:hAnsi="Times New Roman" w:cs="Times New Roman"/>
          <w:bCs/>
          <w:sz w:val="22"/>
          <w:szCs w:val="22"/>
        </w:rPr>
      </w:pPr>
      <w:r>
        <w:rPr>
          <w:rFonts w:cs="Times New Roman" w:ascii="Times New Roman" w:hAnsi="Times New Roman"/>
          <w:bCs/>
          <w:sz w:val="22"/>
          <w:szCs w:val="22"/>
        </w:rPr>
        <w:t>proibidos de participar de licitações e celebrar contratos administrativos, na forma da legislação vigente;</w:t>
      </w:r>
    </w:p>
    <w:p>
      <w:pPr>
        <w:pStyle w:val="Padro"/>
        <w:numPr>
          <w:ilvl w:val="2"/>
          <w:numId w:val="1"/>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estrangeiros que não tenham representação legal no Brasil com poderes expressos para receber citação e responder administrativa ou judicialmente;</w:t>
      </w:r>
    </w:p>
    <w:p>
      <w:pPr>
        <w:pStyle w:val="Padro"/>
        <w:numPr>
          <w:ilvl w:val="2"/>
          <w:numId w:val="1"/>
        </w:numPr>
        <w:spacing w:before="120" w:after="120"/>
        <w:ind w:left="1134" w:right="0" w:hanging="0"/>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que se enquadrem nas vedações previstas no artigo 9º da Lei nº 8.666, de 1993;</w:t>
      </w:r>
    </w:p>
    <w:p>
      <w:pPr>
        <w:pStyle w:val="Padro"/>
        <w:numPr>
          <w:ilvl w:val="2"/>
          <w:numId w:val="1"/>
        </w:numPr>
        <w:spacing w:before="120" w:after="120"/>
        <w:ind w:left="1134" w:right="0" w:hanging="0"/>
        <w:jc w:val="both"/>
        <w:rPr/>
      </w:pPr>
      <w:r>
        <w:rPr>
          <w:rFonts w:cs="Times New Roman" w:ascii="Times New Roman" w:hAnsi="Times New Roman"/>
          <w:sz w:val="22"/>
          <w:szCs w:val="22"/>
        </w:rPr>
        <w:t xml:space="preserve"> </w:t>
      </w:r>
      <w:r>
        <w:rPr>
          <w:rFonts w:cs="Times New Roman" w:ascii="Times New Roman" w:hAnsi="Times New Roman"/>
          <w:color w:val="000000"/>
          <w:sz w:val="22"/>
          <w:szCs w:val="22"/>
        </w:rPr>
        <w:t>que estejam sob falência, concurso de credores, em processo de dissolução ou liquidação;</w:t>
      </w:r>
    </w:p>
    <w:p>
      <w:pPr>
        <w:pStyle w:val="Padro"/>
        <w:numPr>
          <w:ilvl w:val="2"/>
          <w:numId w:val="1"/>
        </w:numPr>
        <w:spacing w:before="120" w:after="120"/>
        <w:ind w:left="1134" w:right="0" w:hanging="0"/>
        <w:jc w:val="both"/>
        <w:rPr>
          <w:rFonts w:ascii="Times New Roman" w:hAnsi="Times New Roman" w:cs="Times New Roman"/>
          <w:sz w:val="22"/>
          <w:szCs w:val="22"/>
        </w:rPr>
      </w:pPr>
      <w:r>
        <w:rPr>
          <w:rFonts w:cs="Times New Roman" w:ascii="Times New Roman" w:hAnsi="Times New Roman"/>
          <w:sz w:val="22"/>
          <w:szCs w:val="22"/>
        </w:rPr>
        <w:t>entidades empresariais que estejam reunidas em consórcio;</w:t>
      </w:r>
    </w:p>
    <w:p>
      <w:pPr>
        <w:pStyle w:val="Normal"/>
        <w:numPr>
          <w:ilvl w:val="0"/>
          <w:numId w:val="0"/>
        </w:numPr>
        <w:snapToGrid w:val="false"/>
        <w:spacing w:lineRule="auto" w:line="276" w:before="120" w:after="120"/>
        <w:ind w:left="1922" w:hanging="0"/>
        <w:jc w:val="both"/>
        <w:rPr>
          <w:color w:val="FF0000"/>
        </w:rPr>
      </w:pPr>
      <w:r>
        <w:rPr>
          <w:rFonts w:cs="Times New Roman" w:ascii="Times New Roman" w:hAnsi="Times New Roman"/>
          <w:b/>
          <w:bCs/>
          <w:i/>
          <w:iCs/>
          <w:color w:val="000000"/>
          <w:sz w:val="22"/>
          <w:szCs w:val="22"/>
        </w:rPr>
        <w:t>5.3.5.1</w:t>
      </w:r>
      <w:r>
        <w:rPr>
          <w:rFonts w:cs="Times New Roman" w:ascii="Times New Roman" w:hAnsi="Times New Roman"/>
          <w:i/>
          <w:iCs/>
          <w:color w:val="000000"/>
          <w:sz w:val="22"/>
          <w:szCs w:val="22"/>
        </w:rPr>
        <w:t xml:space="preserve"> </w:t>
      </w:r>
      <w:r>
        <w:rPr>
          <w:rFonts w:cs="Times New Roman" w:ascii="Times New Roman" w:hAnsi="Times New Roman"/>
          <w:i w:val="false"/>
          <w:iCs w:val="false"/>
          <w:color w:val="000000"/>
          <w:sz w:val="22"/>
          <w:szCs w:val="22"/>
        </w:rPr>
        <w:t>A presente licitação dispensa a participação de empresas reunidas</w:t>
        <w:br/>
        <w:t>em Consórcio tendo em vista não tratar de contratação de grande vulto, nem tão pouco, refere-se a contratação de alta complexidade.</w:t>
      </w:r>
    </w:p>
    <w:p>
      <w:pPr>
        <w:pStyle w:val="Padro"/>
        <w:numPr>
          <w:ilvl w:val="1"/>
          <w:numId w:val="1"/>
        </w:numPr>
        <w:spacing w:before="120" w:after="120"/>
        <w:ind w:left="425" w:right="0" w:hanging="0"/>
        <w:jc w:val="both"/>
        <w:rPr/>
      </w:pPr>
      <w:r>
        <w:rPr>
          <w:rFonts w:cs="Times New Roman" w:ascii="Times New Roman" w:hAnsi="Times New Roman"/>
          <w:color w:val="000000"/>
          <w:sz w:val="22"/>
          <w:szCs w:val="22"/>
        </w:rPr>
        <w:t>Como condição para participação no Pregão, a licitante assinalará “sim” ou “não” em campo próprio do sistema eletrônico, relativo às seguintes declarações:</w:t>
      </w:r>
      <w:r>
        <w:rPr>
          <w:rFonts w:eastAsia="Zurich BT" w:cs="Times New Roman" w:ascii="Times New Roman" w:hAnsi="Times New Roman"/>
          <w:bCs/>
          <w:color w:val="000000"/>
          <w:sz w:val="22"/>
          <w:szCs w:val="22"/>
        </w:rPr>
        <w:t xml:space="preserve"> </w:t>
      </w:r>
    </w:p>
    <w:p>
      <w:pPr>
        <w:pStyle w:val="Padro"/>
        <w:numPr>
          <w:ilvl w:val="2"/>
          <w:numId w:val="1"/>
        </w:numPr>
        <w:spacing w:before="120" w:after="120"/>
        <w:ind w:left="1134" w:right="0" w:hanging="0"/>
        <w:jc w:val="both"/>
        <w:rPr/>
      </w:pPr>
      <w:r>
        <w:rPr>
          <w:rFonts w:cs="Times New Roman" w:ascii="Times New Roman" w:hAnsi="Times New Roman"/>
          <w:bCs/>
          <w:color w:val="000000"/>
          <w:sz w:val="22"/>
          <w:szCs w:val="22"/>
        </w:rPr>
        <w:t xml:space="preserve">que cumpre os requisitos estabelecidos no artigo 3° </w:t>
      </w:r>
      <w:r>
        <w:rPr>
          <w:rFonts w:cs="Times New Roman" w:ascii="Times New Roman" w:hAnsi="Times New Roman"/>
          <w:color w:val="000000"/>
          <w:sz w:val="22"/>
          <w:szCs w:val="22"/>
        </w:rPr>
        <w:t>da Lei Complementar nº 123, de 2006, estando apta a usufruir do tratamento favorecido estabelecido em seus arts. 42 a 49.</w:t>
      </w:r>
    </w:p>
    <w:p>
      <w:pPr>
        <w:pStyle w:val="Padro"/>
        <w:numPr>
          <w:ilvl w:val="3"/>
          <w:numId w:val="1"/>
        </w:numPr>
        <w:spacing w:before="120" w:after="120"/>
        <w:ind w:left="1701" w:right="0" w:hanging="0"/>
        <w:jc w:val="both"/>
        <w:rPr/>
      </w:pPr>
      <w:r>
        <w:rPr>
          <w:rFonts w:cs="Times New Roman" w:ascii="Times New Roman" w:hAnsi="Times New Roman"/>
          <w:bCs/>
          <w:color w:val="000000"/>
          <w:sz w:val="22"/>
          <w:szCs w:val="22"/>
        </w:rPr>
        <w:t>nos grupos exclusivos a microempresas e empresas de pequeno porte, a assinalação do campo “não” impedirá o prosseguimento no certame;</w:t>
      </w:r>
    </w:p>
    <w:p>
      <w:pPr>
        <w:pStyle w:val="Padro"/>
        <w:numPr>
          <w:ilvl w:val="3"/>
          <w:numId w:val="1"/>
        </w:numPr>
        <w:spacing w:before="120" w:after="120"/>
        <w:ind w:left="1701"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nos grupos não exclusivos, a assinalação do campo “não” apenas produzirá o efeito de o licitante não ter direito ao tratamento favorecido previsto na Lei Complementar nº 123, de 2006, mesmo que seja qualificada como microempresa ou empresa de pequeno porte;</w:t>
      </w:r>
    </w:p>
    <w:p>
      <w:pPr>
        <w:pStyle w:val="Padro"/>
        <w:numPr>
          <w:ilvl w:val="2"/>
          <w:numId w:val="1"/>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que está ciente e concorda com as condições contidas no Edital e seus anexos, bem como de que cumpre plenamente os requisitos de habilitação definidos no Edital;</w:t>
      </w:r>
    </w:p>
    <w:p>
      <w:pPr>
        <w:pStyle w:val="Padro"/>
        <w:numPr>
          <w:ilvl w:val="2"/>
          <w:numId w:val="1"/>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que inexistem fatos impeditivos para sua habilitação no certame, ciente da obrigatoriedade de declarar ocorrências posteriores; </w:t>
      </w:r>
    </w:p>
    <w:p>
      <w:pPr>
        <w:pStyle w:val="Padro"/>
        <w:numPr>
          <w:ilvl w:val="2"/>
          <w:numId w:val="1"/>
        </w:numPr>
        <w:spacing w:before="120" w:after="120"/>
        <w:ind w:left="1134" w:right="0" w:hanging="0"/>
        <w:jc w:val="both"/>
        <w:rPr/>
      </w:pPr>
      <w:r>
        <w:rPr>
          <w:rFonts w:cs="Times New Roman" w:ascii="Times New Roman" w:hAnsi="Times New Roman"/>
          <w:color w:val="000000"/>
          <w:sz w:val="22"/>
          <w:szCs w:val="22"/>
        </w:rPr>
        <w:t>que não emprega menor de 18 anos em trabalho noturno, perigoso ou insalubre e não emprega menor de 16 anos, salvo menor, a partir de 14 anos, na condição de aprendiz, nos termos do artigo 7°, XXXIII, da Constituição.</w:t>
      </w:r>
      <w:r>
        <w:rPr>
          <w:rFonts w:eastAsia="Zurich BT" w:cs="Times New Roman" w:ascii="Times New Roman" w:hAnsi="Times New Roman"/>
          <w:color w:val="000000"/>
          <w:sz w:val="22"/>
          <w:szCs w:val="22"/>
        </w:rPr>
        <w:t xml:space="preserve"> </w:t>
      </w:r>
    </w:p>
    <w:p>
      <w:pPr>
        <w:pStyle w:val="Padro"/>
        <w:numPr>
          <w:ilvl w:val="2"/>
          <w:numId w:val="1"/>
        </w:numPr>
        <w:spacing w:before="120" w:after="120"/>
        <w:ind w:left="1134" w:right="0" w:hanging="0"/>
        <w:jc w:val="both"/>
        <w:rPr/>
      </w:pPr>
      <w:r>
        <w:rPr>
          <w:rFonts w:eastAsia="Zurich BT" w:cs="Times New Roman" w:ascii="Times New Roman" w:hAnsi="Times New Roman"/>
          <w:color w:val="000000"/>
          <w:sz w:val="22"/>
          <w:szCs w:val="22"/>
        </w:rPr>
        <w:t>que a proposta foi elaborada de forma independente, nos termos d</w:t>
      </w:r>
      <w:r>
        <w:rPr>
          <w:rFonts w:cs="Times New Roman" w:ascii="Times New Roman" w:hAnsi="Times New Roman"/>
          <w:color w:val="000000"/>
          <w:sz w:val="22"/>
          <w:szCs w:val="22"/>
        </w:rPr>
        <w:t>a Instrução Normativa SLTI/MPOG nº 2, de 16 de setembro de 2009;</w:t>
      </w:r>
    </w:p>
    <w:p>
      <w:pPr>
        <w:pStyle w:val="Padro"/>
        <w:spacing w:before="0" w:after="120"/>
        <w:ind w:left="756"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1"/>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DO ENVIO DA PROPOSTA</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licitante deverá encaminhar a proposta por meio do sistema eletrônico até a data e horário marcados para abertura da sessão, quando então, encerrar-se-á automaticamente a fase de recebimento de propostas.</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Todas as referências de tempo no Edital, no aviso e durante a sessão pública observarão o horário de Brasília – DF.</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O licitante será responsável por todas as transações que forem efetuadas em seu nome no sistema eletrônico, assumindo como firmes e verdadeiras suas propostas e lances. </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Padro"/>
        <w:numPr>
          <w:ilvl w:val="1"/>
          <w:numId w:val="1"/>
        </w:numPr>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t xml:space="preserve">Até a abertura da sessão, os licitantes poderão retirar ou substituir as propostas apresentadas.  </w:t>
      </w:r>
    </w:p>
    <w:p>
      <w:pPr>
        <w:pStyle w:val="Padro"/>
        <w:numPr>
          <w:ilvl w:val="1"/>
          <w:numId w:val="1"/>
        </w:numPr>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t>O licitante deverá enviar sua proposta mediante o preenchimento, no sistema eletrônico, dos seguintes campos:</w:t>
      </w:r>
    </w:p>
    <w:p>
      <w:pPr>
        <w:pStyle w:val="Padro"/>
        <w:numPr>
          <w:ilvl w:val="2"/>
          <w:numId w:val="1"/>
        </w:numPr>
        <w:spacing w:before="120" w:after="120"/>
        <w:ind w:left="1134" w:right="0" w:hanging="0"/>
        <w:jc w:val="both"/>
        <w:rPr/>
      </w:pPr>
      <w:r>
        <w:rPr>
          <w:rFonts w:cs="Times New Roman" w:ascii="Times New Roman" w:hAnsi="Times New Roman"/>
          <w:sz w:val="22"/>
          <w:szCs w:val="22"/>
        </w:rPr>
        <w:t xml:space="preserve"> </w:t>
      </w:r>
      <w:r>
        <w:rPr>
          <w:rFonts w:cs="Times New Roman" w:ascii="Times New Roman" w:hAnsi="Times New Roman"/>
          <w:color w:val="000000"/>
          <w:sz w:val="22"/>
          <w:szCs w:val="22"/>
        </w:rPr>
        <w:t>valor unitário;</w:t>
      </w:r>
    </w:p>
    <w:p>
      <w:pPr>
        <w:pStyle w:val="Padro"/>
        <w:numPr>
          <w:ilvl w:val="2"/>
          <w:numId w:val="1"/>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quantidade de unidades, observada a quantidade mínima fixada no Termo de Referência para cada item;</w:t>
      </w:r>
    </w:p>
    <w:p>
      <w:pPr>
        <w:pStyle w:val="Padro"/>
        <w:numPr>
          <w:ilvl w:val="3"/>
          <w:numId w:val="1"/>
        </w:numPr>
        <w:spacing w:before="120" w:after="120"/>
        <w:ind w:left="1701"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em não havendo quantidade mínima fixada, deverá ser cotada a quantidade total prevista para o item.</w:t>
      </w:r>
    </w:p>
    <w:p>
      <w:pPr>
        <w:pStyle w:val="Padro"/>
        <w:numPr>
          <w:ilvl w:val="2"/>
          <w:numId w:val="1"/>
        </w:numPr>
        <w:spacing w:before="120" w:after="120"/>
        <w:ind w:left="1134" w:right="0" w:hanging="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Marca;</w:t>
      </w:r>
    </w:p>
    <w:p>
      <w:pPr>
        <w:pStyle w:val="Padro"/>
        <w:numPr>
          <w:ilvl w:val="2"/>
          <w:numId w:val="1"/>
        </w:numPr>
        <w:spacing w:before="120" w:after="120"/>
        <w:ind w:left="1134" w:right="0" w:hanging="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 xml:space="preserve">Fabricante; </w:t>
      </w:r>
    </w:p>
    <w:p>
      <w:pPr>
        <w:pStyle w:val="Padro"/>
        <w:numPr>
          <w:ilvl w:val="2"/>
          <w:numId w:val="1"/>
        </w:numPr>
        <w:spacing w:before="120" w:after="120"/>
        <w:ind w:left="1134" w:right="0" w:hanging="0"/>
        <w:jc w:val="both"/>
        <w:rPr/>
      </w:pPr>
      <w:r>
        <w:rPr>
          <w:rFonts w:cs="Times New Roman" w:ascii="Times New Roman" w:hAnsi="Times New Roman"/>
          <w:bCs/>
          <w:iCs/>
          <w:color w:val="000000"/>
          <w:sz w:val="22"/>
          <w:szCs w:val="22"/>
        </w:rPr>
        <w:t>Descrição detalhada do objeto: indicando, no que for aplicável</w:t>
      </w:r>
      <w:r>
        <w:rPr>
          <w:rFonts w:cs="Times New Roman" w:ascii="Times New Roman" w:hAnsi="Times New Roman"/>
          <w:color w:val="000000"/>
          <w:sz w:val="22"/>
          <w:szCs w:val="22"/>
        </w:rPr>
        <w:t>, o modelo, prazo de validade, número do registro ou inscrição do bem no órgão competente, quando for o caso;</w:t>
      </w:r>
    </w:p>
    <w:p>
      <w:pPr>
        <w:pStyle w:val="Padro"/>
        <w:numPr>
          <w:ilvl w:val="1"/>
          <w:numId w:val="1"/>
        </w:numPr>
        <w:spacing w:before="120" w:after="120"/>
        <w:ind w:left="425" w:right="0" w:hanging="0"/>
        <w:jc w:val="both"/>
        <w:rPr/>
      </w:pPr>
      <w:r>
        <w:rPr>
          <w:rFonts w:cs="Times New Roman" w:ascii="Times New Roman" w:hAnsi="Times New Roman"/>
          <w:color w:val="000000"/>
          <w:sz w:val="22"/>
          <w:szCs w:val="22"/>
        </w:rPr>
        <w:t xml:space="preserve">Todas as especificações do objeto contidas na proposta vinculam </w:t>
      </w:r>
      <w:r>
        <w:rPr>
          <w:rFonts w:cs="Times New Roman" w:ascii="Times New Roman" w:hAnsi="Times New Roman"/>
          <w:sz w:val="22"/>
          <w:szCs w:val="22"/>
        </w:rPr>
        <w:t xml:space="preserve">o fornecedor </w:t>
      </w:r>
      <w:r>
        <w:rPr>
          <w:rFonts w:cs="Times New Roman" w:ascii="Times New Roman" w:hAnsi="Times New Roman"/>
          <w:color w:val="000000"/>
          <w:sz w:val="22"/>
          <w:szCs w:val="22"/>
        </w:rPr>
        <w:t xml:space="preserve">registrado. </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Nos valores propostos estarão inclusos todos os custos operacionais, encargos previdenciários, trabalhistas, tributários, comerciais e quaisquer outros que incidam direta ou indiretamente no fornecimento dos bens.</w:t>
      </w:r>
    </w:p>
    <w:p>
      <w:pPr>
        <w:pStyle w:val="Padro"/>
        <w:numPr>
          <w:ilvl w:val="1"/>
          <w:numId w:val="1"/>
        </w:numPr>
        <w:tabs>
          <w:tab w:val="left" w:pos="567" w:leader="none"/>
          <w:tab w:val="left" w:pos="709" w:leader="none"/>
          <w:tab w:val="left" w:pos="851" w:leader="none"/>
        </w:tabs>
        <w:spacing w:before="120" w:after="120"/>
        <w:jc w:val="both"/>
        <w:rPr/>
      </w:pPr>
      <w:r>
        <w:rPr>
          <w:rFonts w:cs="Times New Roman" w:ascii="Times New Roman" w:hAnsi="Times New Roman"/>
          <w:color w:val="000000"/>
          <w:sz w:val="22"/>
          <w:szCs w:val="22"/>
        </w:rPr>
        <w:t xml:space="preserve">O prazo de validade da proposta não será inferior a </w:t>
      </w:r>
      <w:r>
        <w:rPr>
          <w:rFonts w:cs="Times New Roman" w:ascii="Times New Roman" w:hAnsi="Times New Roman"/>
          <w:b/>
          <w:bCs/>
          <w:color w:val="000000"/>
          <w:sz w:val="22"/>
          <w:szCs w:val="22"/>
        </w:rPr>
        <w:t xml:space="preserve">180 (cento e oitenta) </w:t>
      </w:r>
      <w:r>
        <w:rPr>
          <w:rFonts w:cs="Times New Roman" w:ascii="Times New Roman" w:hAnsi="Times New Roman"/>
          <w:b/>
          <w:bCs/>
          <w:iCs/>
          <w:color w:val="000000"/>
          <w:sz w:val="22"/>
          <w:szCs w:val="22"/>
        </w:rPr>
        <w:t>dias</w:t>
      </w:r>
      <w:r>
        <w:rPr>
          <w:rFonts w:cs="Times New Roman" w:ascii="Times New Roman" w:hAnsi="Times New Roman"/>
          <w:color w:val="000000"/>
          <w:sz w:val="22"/>
          <w:szCs w:val="22"/>
        </w:rPr>
        <w:t xml:space="preserve">, a contar da data de sua apresentação. </w:t>
      </w:r>
    </w:p>
    <w:p>
      <w:pPr>
        <w:pStyle w:val="Nivel1"/>
        <w:numPr>
          <w:ilvl w:val="0"/>
          <w:numId w:val="1"/>
        </w:numPr>
        <w:ind w:left="357" w:right="0" w:hanging="357"/>
        <w:rPr>
          <w:rFonts w:ascii="Times New Roman" w:hAnsi="Times New Roman" w:cs="Times New Roman"/>
          <w:sz w:val="22"/>
          <w:szCs w:val="22"/>
        </w:rPr>
      </w:pPr>
      <w:r>
        <w:rPr>
          <w:rFonts w:cs="Times New Roman" w:ascii="Times New Roman" w:hAnsi="Times New Roman"/>
          <w:sz w:val="22"/>
          <w:szCs w:val="22"/>
        </w:rPr>
        <w:t>DA FORMULAÇÃO DOS LANCES E DO JULGAMENTO DAS PROPOSTAS</w:t>
      </w:r>
    </w:p>
    <w:p>
      <w:pPr>
        <w:pStyle w:val="Padro"/>
        <w:numPr>
          <w:ilvl w:val="1"/>
          <w:numId w:val="1"/>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A abertura da presente licitação dar-se-á em sessão pública, por meio de sistema eletrônico, na data, horário e local indicados neste Edital.</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O Pregoeiro verificará as propostas apresentadas, desclassificando desde logo aquelas que não estejam em conformidade com os requisitos estabelecidos neste Edital, forem omissas ou apresentarem irregularidades insanáveis. </w:t>
      </w:r>
    </w:p>
    <w:p>
      <w:pPr>
        <w:pStyle w:val="Padro"/>
        <w:numPr>
          <w:ilvl w:val="2"/>
          <w:numId w:val="1"/>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desclassificação será sempre fundamentada e registrada no sistema, com acompanhamento em tempo real por todos os participantes.</w:t>
      </w:r>
    </w:p>
    <w:p>
      <w:pPr>
        <w:pStyle w:val="Padro"/>
        <w:numPr>
          <w:ilvl w:val="2"/>
          <w:numId w:val="1"/>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não desclassificação da proposta não impede o seu julgamento definitivo em sentido contrário, levado a efeito na fase de aceitação.</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sistema ordenará automaticamente as propostas classificadas, sendo que somente estas participarão da fase de lances.</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sistema disponibilizará campo próprio para troca de mensagem entre o Pregoeiro e os licitantes.</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Iniciada a etapa competitiva, os licitantes deverão encaminhar lances exclusivamente por meio de sistema eletrônico, sendo imediatamente informados do seu recebimento e do valor consignado no registro. </w:t>
      </w:r>
    </w:p>
    <w:p>
      <w:pPr>
        <w:pStyle w:val="Padro"/>
        <w:numPr>
          <w:ilvl w:val="2"/>
          <w:numId w:val="1"/>
        </w:numPr>
        <w:spacing w:before="120" w:after="120"/>
        <w:ind w:left="1134" w:right="0" w:hanging="0"/>
        <w:jc w:val="both"/>
        <w:rPr/>
      </w:pPr>
      <w:r>
        <w:rPr>
          <w:rFonts w:eastAsia="Times New Roman" w:cs="Times New Roman" w:ascii="Times New Roman" w:hAnsi="Times New Roman"/>
          <w:i w:val="false"/>
          <w:iCs w:val="false"/>
          <w:color w:val="000000"/>
          <w:sz w:val="22"/>
          <w:szCs w:val="22"/>
          <w:lang w:val="pt-BR" w:eastAsia="pt-BR" w:bidi="ar-SA"/>
        </w:rPr>
        <w:t>O lance deverá ser ofertado pelo valor unitário de cada item, sendo vencedor</w:t>
        <w:br/>
        <w:t>aquele que ofertar menor valor por grupo.</w:t>
      </w:r>
    </w:p>
    <w:p>
      <w:pPr>
        <w:pStyle w:val="ListParagraph"/>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Os licitantes poderão oferecer lances sucessivos, observando o horário fixado para abertura da sessão e as regras estabelecidas no Edital.</w:t>
      </w:r>
    </w:p>
    <w:p>
      <w:pPr>
        <w:pStyle w:val="ListParagraph"/>
        <w:numPr>
          <w:ilvl w:val="1"/>
          <w:numId w:val="1"/>
        </w:numPr>
        <w:spacing w:before="120" w:after="120"/>
        <w:ind w:left="425" w:right="0" w:hanging="0"/>
        <w:jc w:val="both"/>
        <w:rPr/>
      </w:pPr>
      <w:r>
        <w:rPr>
          <w:rFonts w:cs="Times New Roman" w:ascii="Times New Roman" w:hAnsi="Times New Roman"/>
          <w:color w:val="000000"/>
          <w:sz w:val="22"/>
          <w:szCs w:val="22"/>
        </w:rPr>
        <w:t>O licitante somente poderá oferecer lance inferior ao último por ele ofertado e registrado pelo sistema.</w:t>
      </w:r>
    </w:p>
    <w:p>
      <w:pPr>
        <w:pStyle w:val="ListParagraph"/>
        <w:numPr>
          <w:ilvl w:val="0"/>
          <w:numId w:val="0"/>
        </w:numPr>
        <w:spacing w:before="120" w:after="120"/>
        <w:ind w:left="1861" w:right="0" w:hanging="0"/>
        <w:jc w:val="both"/>
        <w:rPr/>
      </w:pPr>
      <w:r>
        <w:rPr>
          <w:rFonts w:cs="Times New Roman" w:ascii="Times New Roman" w:hAnsi="Times New Roman"/>
          <w:color w:val="000000"/>
          <w:sz w:val="22"/>
          <w:szCs w:val="22"/>
        </w:rPr>
        <w:t>7.7.1 O intervalo entre os lances enviados pelo mesmo licitante não poderá ser inferior a vinte (20) segundos e o intervalo entre lances não poderá ser inferior a três (3) segundos.</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Não serão aceitos dois ou mais lances de mesmo valor, prevalecendo aquele que for recebido e registrado em primeiro lugar. </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Durante o transcurso da sessão pública, os licitantes serão informados, em tempo real, do valor do menor lance registrado, vedada a identificação do licitante. </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No caso de desconexão com o Pregoeiro, no decorrer da etapa competitiva do Pregão, o sistema eletrônico poderá permanecer acessível aos licitantes para a recepção dos lances. </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Se a desconexão perdurar por tempo superior a 10 (dez) minutos, a sessão será suspensa e terá reinício somente após comunicação expressa do Pregoeiro aos participantes. </w:t>
      </w:r>
    </w:p>
    <w:p>
      <w:pPr>
        <w:pStyle w:val="ListParagraph"/>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O Critério de julgamento adotado será o menor preço, conforme definido neste Edital e seus anexos. </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Padro"/>
        <w:numPr>
          <w:ilvl w:val="1"/>
          <w:numId w:val="1"/>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Caso o licitante não apresente lances, concorrerá com o valor de sua proposta e, na hipótese de desistência de apresentar outros lances, valerá o último lance por ele ofertado, para efeito de ordenação das propostas.</w:t>
      </w:r>
    </w:p>
    <w:p>
      <w:pPr>
        <w:pStyle w:val="Padro"/>
        <w:numPr>
          <w:ilvl w:val="1"/>
          <w:numId w:val="1"/>
        </w:numPr>
        <w:spacing w:before="120" w:after="120"/>
        <w:ind w:left="425" w:right="0" w:hanging="0"/>
        <w:jc w:val="both"/>
        <w:rPr/>
      </w:pPr>
      <w:r>
        <w:rPr>
          <w:rFonts w:cs="Times New Roman" w:ascii="Times New Roman" w:hAnsi="Times New Roman"/>
          <w:color w:val="000000"/>
          <w:sz w:val="22"/>
          <w:szCs w:val="22"/>
          <w:lang w:eastAsia="en-US"/>
        </w:rPr>
        <w:t xml:space="preserve">Em relação aos itens não exclusivos a </w:t>
      </w:r>
      <w:r>
        <w:rPr>
          <w:rFonts w:cs="Times New Roman" w:ascii="Times New Roman" w:hAnsi="Times New Roman"/>
          <w:bCs/>
          <w:color w:val="000000"/>
          <w:sz w:val="22"/>
          <w:szCs w:val="22"/>
          <w:lang w:eastAsia="en-US"/>
        </w:rPr>
        <w:t>microempresas e empresas de pequeno porte,</w:t>
      </w:r>
      <w:r>
        <w:rPr>
          <w:rFonts w:cs="Times New Roman" w:ascii="Times New Roman" w:hAnsi="Times New Roman"/>
          <w:color w:val="000000"/>
          <w:sz w:val="22"/>
          <w:szCs w:val="22"/>
          <w:lang w:eastAsia="en-US"/>
        </w:rPr>
        <w:t xml:space="preserve"> uma vez encerrada a etapa de lances</w:t>
      </w:r>
      <w:r>
        <w:rPr>
          <w:rFonts w:eastAsia="Zurich BT" w:cs="Times New Roman" w:ascii="Times New Roman" w:hAnsi="Times New Roman"/>
          <w:bCs/>
          <w:sz w:val="22"/>
          <w:szCs w:val="22"/>
        </w:rPr>
        <w:t>, será efetivada a verificação automática, junto à Receita Federal, do porte da entidade empresarial. O sistema identificará em coluna própria as licitantes qualificadas como microempresas ou empresas de pequeno porte, procedendo à comparação com os valores da primeira colocada, se esta for empresa de maior porte, assim como das demais classificadas, para o fim de aplicar-se o disposto nos arts. 44 e 45 da LC nº 123, de 2006, regulamentado pelo Decreto nº 8.538, de 2015.</w:t>
      </w:r>
    </w:p>
    <w:p>
      <w:pPr>
        <w:pStyle w:val="Padro"/>
        <w:numPr>
          <w:ilvl w:val="1"/>
          <w:numId w:val="1"/>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Nessas condições, caso a melhor oferta válida tenha sido apresentada por empresa de maior porte, as propostas de pessoas qualificadas como microempresas ou empresas de pequeno porte que se encontrarem na faixa de até 5% (cinco por cento) acima da proposta ou lance de menor preço serão consideradas empatadas com a primeira colocada.</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Padro"/>
        <w:numPr>
          <w:ilvl w:val="1"/>
          <w:numId w:val="1"/>
        </w:numPr>
        <w:spacing w:before="120" w:after="120"/>
        <w:ind w:left="425" w:right="0" w:hanging="0"/>
        <w:jc w:val="both"/>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lang w:eastAsia="en-US"/>
        </w:rPr>
        <w:t>Caso a licitante qualificada como microempresa ou empresa de pequeno porte melhor classificada desista ou não se manifeste no prazo estabelecido, serão convocadas as demais licitantes qualificadas como microempresa ou empresa de pequeno porte que se encontrem naquele intervalo de 5% (cinco por cento), na ordem de classificação, para o exercício do mesmo direito, no prazo estabelecido no subitem anterior.</w:t>
      </w:r>
    </w:p>
    <w:p>
      <w:pPr>
        <w:pStyle w:val="ListParagraph"/>
        <w:numPr>
          <w:ilvl w:val="2"/>
          <w:numId w:val="1"/>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Quando houver propostas beneficiadas com as margens de preferência em relação ao produto estrangeiro, o critério de desempate será aplicado exclusivamente entre as propostas que fizerem jus às margens de preferência, conforme regulamento.</w:t>
      </w:r>
    </w:p>
    <w:p>
      <w:pPr>
        <w:pStyle w:val="Padro"/>
        <w:numPr>
          <w:ilvl w:val="1"/>
          <w:numId w:val="1"/>
        </w:numPr>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t>Ao final do procedimento, após o encerramento da etapa competitiva, os licitantes poderão reduzir seus preços ao valor da proposta do licitante mais bem classificado.</w:t>
      </w:r>
    </w:p>
    <w:p>
      <w:pPr>
        <w:pStyle w:val="Padro"/>
        <w:numPr>
          <w:ilvl w:val="2"/>
          <w:numId w:val="1"/>
        </w:numPr>
        <w:spacing w:before="120" w:after="120"/>
        <w:ind w:left="1134" w:right="0" w:hanging="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A apresentação de novas propostas na forma deste item não prejudicará o resultado do certame em relação ao licitante mais bem classificado.</w:t>
      </w:r>
    </w:p>
    <w:p>
      <w:pPr>
        <w:pStyle w:val="Padro"/>
        <w:spacing w:before="0" w:after="120"/>
        <w:ind w:left="567" w:right="-17"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1"/>
        </w:numPr>
        <w:spacing w:before="120" w:after="120"/>
        <w:ind w:left="0" w:right="0" w:hanging="0"/>
        <w:jc w:val="both"/>
        <w:rPr/>
      </w:pPr>
      <w:r>
        <w:rPr>
          <w:rFonts w:cs="Times New Roman" w:ascii="Times New Roman" w:hAnsi="Times New Roman"/>
          <w:b/>
          <w:bCs/>
          <w:color w:val="000000"/>
          <w:sz w:val="22"/>
          <w:szCs w:val="22"/>
          <w:lang w:eastAsia="en-US"/>
        </w:rPr>
        <w:t>DA  ACEITABILIDADE DA PROPOSTA VENCEDORA.</w:t>
      </w:r>
    </w:p>
    <w:p>
      <w:pPr>
        <w:pStyle w:val="Padro"/>
        <w:numPr>
          <w:ilvl w:val="1"/>
          <w:numId w:val="1"/>
        </w:numPr>
        <w:spacing w:before="120" w:after="120"/>
        <w:ind w:left="425" w:right="0" w:hanging="0"/>
        <w:jc w:val="both"/>
        <w:rPr/>
      </w:pPr>
      <w:r>
        <w:rPr>
          <w:rFonts w:cs="Times New Roman" w:ascii="Times New Roman" w:hAnsi="Times New Roman"/>
          <w:sz w:val="22"/>
          <w:szCs w:val="22"/>
          <w:lang w:eastAsia="en-US"/>
        </w:rPr>
        <w:t>Encerrada a etapa de lances e depois da verificação de possível empate, o Pregoeiro examinará a proposta classificada em primeiro lugar</w:t>
      </w:r>
      <w:r>
        <w:rPr>
          <w:rFonts w:cs="Times New Roman" w:ascii="Times New Roman" w:hAnsi="Times New Roman"/>
          <w:color w:val="000000"/>
          <w:sz w:val="22"/>
          <w:szCs w:val="22"/>
        </w:rPr>
        <w:t xml:space="preserve"> quanto ao preço, a sua exequibilidade, bem como quanto ao cumprimento das especificações do objeto.</w:t>
      </w:r>
    </w:p>
    <w:p>
      <w:pPr>
        <w:pStyle w:val="Padro"/>
        <w:numPr>
          <w:ilvl w:val="1"/>
          <w:numId w:val="1"/>
        </w:numPr>
        <w:spacing w:before="120" w:after="120"/>
        <w:ind w:left="425"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Será desclassificada a proposta ou o lance vencedor com valor superior ao preço máximo fixado ou que apresentar preço manifestamente inexequível.</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pStyle w:val="Padro"/>
        <w:numPr>
          <w:ilvl w:val="1"/>
          <w:numId w:val="1"/>
        </w:numPr>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Padro"/>
        <w:numPr>
          <w:ilvl w:val="1"/>
          <w:numId w:val="1"/>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 xml:space="preserve">O Pregoeiro poderá convocar o licitante para enviar documento digital, por meio de funcionalidade disponível no sistema estabelecendo no “chat” prazo razoável para tanto, sob pena de não aceitação da proposta. </w:t>
      </w:r>
    </w:p>
    <w:p>
      <w:pPr>
        <w:pStyle w:val="Padro"/>
        <w:numPr>
          <w:ilvl w:val="2"/>
          <w:numId w:val="1"/>
        </w:numPr>
        <w:tabs>
          <w:tab w:val="left" w:pos="567" w:leader="none"/>
          <w:tab w:val="left" w:pos="1701" w:leader="none"/>
          <w:tab w:val="left" w:pos="2835" w:leader="none"/>
          <w:tab w:val="left" w:pos="3969" w:leader="none"/>
          <w:tab w:val="left" w:pos="5976" w:leader="none"/>
        </w:tabs>
        <w:spacing w:before="120" w:after="120"/>
        <w:ind w:left="1134"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pPr>
        <w:pStyle w:val="Padro"/>
        <w:numPr>
          <w:ilvl w:val="3"/>
          <w:numId w:val="1"/>
        </w:numPr>
        <w:spacing w:before="120" w:after="120"/>
        <w:ind w:left="1701" w:right="0" w:hanging="0"/>
        <w:jc w:val="both"/>
        <w:rPr/>
      </w:pPr>
      <w:r>
        <w:rPr>
          <w:rFonts w:cs="Times New Roman" w:ascii="Times New Roman" w:hAnsi="Times New Roman"/>
          <w:color w:val="000000"/>
          <w:sz w:val="22"/>
          <w:szCs w:val="22"/>
          <w:lang w:eastAsia="en-US"/>
        </w:rPr>
        <w:t xml:space="preserve">O prazo estabelecido pelo Pregoeiro poderá ser prorrogado por </w:t>
      </w:r>
      <w:r>
        <w:rPr>
          <w:rFonts w:cs="Times New Roman" w:ascii="Times New Roman" w:hAnsi="Times New Roman"/>
          <w:sz w:val="22"/>
          <w:szCs w:val="22"/>
        </w:rPr>
        <w:t>solicitação escrita e justificada do licitante, formulada antes de</w:t>
      </w:r>
      <w:r>
        <w:rPr>
          <w:rFonts w:cs="Times New Roman" w:ascii="Times New Roman" w:hAnsi="Times New Roman"/>
          <w:sz w:val="22"/>
          <w:szCs w:val="22"/>
          <w:lang w:eastAsia="en-US"/>
        </w:rPr>
        <w:t xml:space="preserve"> </w:t>
      </w:r>
      <w:r>
        <w:rPr>
          <w:rFonts w:cs="Times New Roman" w:ascii="Times New Roman" w:hAnsi="Times New Roman"/>
          <w:color w:val="000000"/>
          <w:sz w:val="22"/>
          <w:szCs w:val="22"/>
          <w:lang w:eastAsia="en-US"/>
        </w:rPr>
        <w:t xml:space="preserve">findo o prazo estabelecido, e formalmente aceita pelo Pregoeiro. </w:t>
      </w:r>
    </w:p>
    <w:p>
      <w:pPr>
        <w:pStyle w:val="Padro"/>
        <w:numPr>
          <w:ilvl w:val="1"/>
          <w:numId w:val="1"/>
        </w:numPr>
        <w:spacing w:before="120" w:after="120"/>
        <w:ind w:left="425" w:right="0" w:hanging="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Se a proposta ou lance vencedor for desclassificado, o Pregoeiro examinará a proposta ou lance subsequente, e, assim sucessivamente, na ordem de classificação.</w:t>
      </w:r>
    </w:p>
    <w:p>
      <w:pPr>
        <w:pStyle w:val="Padro"/>
        <w:numPr>
          <w:ilvl w:val="1"/>
          <w:numId w:val="1"/>
        </w:numPr>
        <w:spacing w:before="120" w:after="120"/>
        <w:ind w:left="425" w:right="0" w:hanging="0"/>
        <w:jc w:val="both"/>
        <w:rPr/>
      </w:pPr>
      <w:r>
        <w:rPr>
          <w:rFonts w:cs="Times New Roman" w:ascii="Times New Roman" w:hAnsi="Times New Roman"/>
          <w:color w:val="000000"/>
          <w:sz w:val="22"/>
          <w:szCs w:val="22"/>
          <w:lang w:eastAsia="en-US"/>
        </w:rPr>
        <w:t>Havendo necessidade, o Pregoeiro suspenderá a sessão, informando no “</w:t>
      </w:r>
      <w:r>
        <w:rPr>
          <w:rFonts w:cs="Times New Roman" w:ascii="Times New Roman" w:hAnsi="Times New Roman"/>
          <w:i/>
          <w:color w:val="000000"/>
          <w:sz w:val="22"/>
          <w:szCs w:val="22"/>
          <w:lang w:eastAsia="en-US"/>
        </w:rPr>
        <w:t>chat</w:t>
      </w:r>
      <w:r>
        <w:rPr>
          <w:rFonts w:cs="Times New Roman" w:ascii="Times New Roman" w:hAnsi="Times New Roman"/>
          <w:color w:val="000000"/>
          <w:sz w:val="22"/>
          <w:szCs w:val="22"/>
          <w:lang w:eastAsia="en-US"/>
        </w:rPr>
        <w:t>” a nova data e horário para a continuidade da mesma.</w:t>
      </w:r>
    </w:p>
    <w:p>
      <w:pPr>
        <w:pStyle w:val="Padro"/>
        <w:numPr>
          <w:ilvl w:val="1"/>
          <w:numId w:val="1"/>
        </w:numPr>
        <w:spacing w:before="120" w:after="120"/>
        <w:ind w:left="425" w:right="0" w:hanging="0"/>
        <w:jc w:val="both"/>
        <w:rPr/>
      </w:pPr>
      <w:r>
        <w:rPr>
          <w:rFonts w:cs="Times New Roman" w:ascii="Times New Roman" w:hAnsi="Times New Roman"/>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Padro"/>
        <w:numPr>
          <w:ilvl w:val="2"/>
          <w:numId w:val="1"/>
        </w:numPr>
        <w:spacing w:before="120" w:after="120"/>
        <w:ind w:left="1134" w:right="0" w:hanging="0"/>
        <w:jc w:val="both"/>
        <w:rPr/>
      </w:pPr>
      <w:r>
        <w:rPr>
          <w:rFonts w:cs="Times New Roman" w:ascii="Times New Roman" w:hAnsi="Times New Roman"/>
          <w:sz w:val="22"/>
          <w:szCs w:val="22"/>
        </w:rPr>
        <w:t>Também nas hipóteses em que o Pregoeiro não aceitar a proposta e passar à subsequente, poderá negociar com o licitante para que seja obtido preço melhor.</w:t>
      </w:r>
    </w:p>
    <w:p>
      <w:pPr>
        <w:pStyle w:val="Padro"/>
        <w:numPr>
          <w:ilvl w:val="2"/>
          <w:numId w:val="1"/>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negociação será realizada por meio do sistema, podendo ser acompanhada pelos demais licitantes.</w:t>
      </w:r>
    </w:p>
    <w:p>
      <w:pPr>
        <w:pStyle w:val="Padro"/>
        <w:numPr>
          <w:ilvl w:val="1"/>
          <w:numId w:val="1"/>
        </w:numPr>
        <w:spacing w:before="120" w:after="120"/>
        <w:ind w:left="425" w:right="0" w:hanging="0"/>
        <w:jc w:val="both"/>
        <w:rPr/>
      </w:pPr>
      <w:r>
        <w:rPr>
          <w:rFonts w:cs="Times New Roman" w:ascii="Times New Roman" w:hAnsi="Times New Roman"/>
          <w:color w:val="000000"/>
          <w:sz w:val="22"/>
          <w:szCs w:val="22"/>
          <w:lang w:eastAsia="en-US"/>
        </w:rPr>
        <w:t>Nos grupos não exclusivos a microempresas, empresas de pequeno porte e sociedades cooperativas, s</w:t>
      </w:r>
      <w:r>
        <w:rPr>
          <w:rFonts w:cs="Times New Roman" w:ascii="Times New Roman" w:hAnsi="Times New Roman"/>
          <w:color w:val="000000"/>
          <w:sz w:val="22"/>
          <w:szCs w:val="22"/>
        </w:rPr>
        <w:t xml:space="preserve">empre que a proposta não for aceita, e antes de o pregoeiro passar à subsequente, haverá nova verificação, pelo sistema, da eventual ocorrência do empate ficto, previsto nos artigos </w:t>
      </w:r>
      <w:r>
        <w:rPr>
          <w:rFonts w:cs="Times New Roman" w:ascii="Times New Roman" w:hAnsi="Times New Roman"/>
          <w:bCs/>
          <w:color w:val="000000"/>
          <w:sz w:val="22"/>
          <w:szCs w:val="22"/>
        </w:rPr>
        <w:t>44 e 45 da LC nº 123, de 2006, seguindo-se a disciplina antes estabelecida, se for o caso.</w:t>
      </w:r>
    </w:p>
    <w:p>
      <w:pPr>
        <w:pStyle w:val="Padro"/>
        <w:numPr>
          <w:ilvl w:val="1"/>
          <w:numId w:val="1"/>
        </w:numPr>
        <w:spacing w:before="0" w:after="120"/>
        <w:ind w:left="0" w:right="-17" w:firstLine="567"/>
        <w:jc w:val="both"/>
        <w:rPr/>
      </w:pPr>
      <w:r>
        <w:rPr>
          <w:rFonts w:cs="Times New Roman" w:ascii="Times New Roman" w:hAnsi="Times New Roman"/>
          <w:color w:val="000000"/>
          <w:sz w:val="22"/>
          <w:szCs w:val="22"/>
        </w:rPr>
        <w:t xml:space="preserve">Nos itens em que for admitido oferecer quantitativos inferiores, se a proposta do licitante vencedor não atender ao quantitativo total estimado para a contratação, respeitada a ordem de classificação, poderão ser convocados tantos quantos forem necessários para alcançar o total estimado, </w:t>
      </w:r>
      <w:r>
        <w:rPr>
          <w:rFonts w:cs="Times New Roman" w:ascii="Times New Roman" w:hAnsi="Times New Roman"/>
          <w:bCs/>
          <w:color w:val="000000"/>
          <w:sz w:val="22"/>
          <w:szCs w:val="22"/>
        </w:rPr>
        <w:t>observado o preço da proposta vencedora.</w:t>
      </w:r>
    </w:p>
    <w:p>
      <w:pPr>
        <w:pStyle w:val="Padro"/>
        <w:numPr>
          <w:ilvl w:val="1"/>
          <w:numId w:val="1"/>
        </w:numPr>
        <w:spacing w:before="0" w:after="120"/>
        <w:ind w:left="0" w:right="-17" w:firstLine="567"/>
        <w:jc w:val="both"/>
        <w:rPr>
          <w:highlight w:val="yellow"/>
        </w:rPr>
      </w:pPr>
      <w:r>
        <w:rPr>
          <w:rFonts w:cs="Times New Roman" w:ascii="Times New Roman" w:hAnsi="Times New Roman"/>
          <w:bCs/>
          <w:color w:val="000000"/>
          <w:sz w:val="22"/>
          <w:szCs w:val="22"/>
          <w:highlight w:val="yellow"/>
        </w:rPr>
        <w:t>Em atendimento a Orientação Normativa expedida pela Secretaria de</w:t>
        <w:br/>
        <w:t>Gestão do Ministério do Planejamento, Desenvolvimento e Gestão, no âmbito das licitações realizadas sob a modelagem de aquisição por preço global de grupo de itens, somente será admitida as seguintes hipóteses:</w:t>
      </w:r>
    </w:p>
    <w:p>
      <w:pPr>
        <w:pStyle w:val="Padro"/>
        <w:widowControl/>
        <w:numPr>
          <w:ilvl w:val="0"/>
          <w:numId w:val="0"/>
        </w:numPr>
        <w:tabs>
          <w:tab w:val="left" w:pos="567" w:leader="none"/>
        </w:tabs>
        <w:suppressAutoHyphens w:val="true"/>
        <w:overflowPunct w:val="true"/>
        <w:bidi w:val="0"/>
        <w:spacing w:lineRule="auto" w:line="240" w:before="0" w:after="0"/>
        <w:ind w:left="3056" w:right="0" w:hanging="0"/>
        <w:jc w:val="both"/>
        <w:rPr>
          <w:highlight w:val="yellow"/>
        </w:rPr>
      </w:pPr>
      <w:r>
        <w:rPr>
          <w:rFonts w:cs="Times New Roman" w:ascii="Times New Roman" w:hAnsi="Times New Roman"/>
          <w:b/>
          <w:bCs/>
          <w:sz w:val="22"/>
          <w:szCs w:val="22"/>
          <w:highlight w:val="yellow"/>
        </w:rPr>
        <w:t>8.11.1</w:t>
      </w:r>
      <w:r>
        <w:rPr>
          <w:rFonts w:cs="Times New Roman" w:ascii="Times New Roman" w:hAnsi="Times New Roman"/>
          <w:sz w:val="22"/>
          <w:szCs w:val="22"/>
          <w:highlight w:val="yellow"/>
        </w:rPr>
        <w:t xml:space="preserve"> Aquisição da totalidade dos itens do grupo, respeitadas as proporções de quantitativos definidos no certame;</w:t>
      </w:r>
    </w:p>
    <w:p>
      <w:pPr>
        <w:pStyle w:val="Padro"/>
        <w:widowControl/>
        <w:numPr>
          <w:ilvl w:val="0"/>
          <w:numId w:val="0"/>
        </w:numPr>
        <w:tabs>
          <w:tab w:val="left" w:pos="567" w:leader="none"/>
        </w:tabs>
        <w:suppressAutoHyphens w:val="true"/>
        <w:overflowPunct w:val="true"/>
        <w:bidi w:val="0"/>
        <w:spacing w:lineRule="auto" w:line="240" w:before="0" w:after="0"/>
        <w:ind w:left="3056" w:right="0" w:hanging="0"/>
        <w:jc w:val="both"/>
        <w:rPr>
          <w:highlight w:val="yellow"/>
        </w:rPr>
      </w:pPr>
      <w:r>
        <w:rPr>
          <w:rFonts w:cs="Times New Roman" w:ascii="Times New Roman" w:hAnsi="Times New Roman"/>
          <w:sz w:val="22"/>
          <w:szCs w:val="22"/>
          <w:highlight w:val="yellow"/>
        </w:rPr>
        <w:br/>
      </w:r>
      <w:r>
        <w:rPr>
          <w:rFonts w:cs="Times New Roman" w:ascii="Times New Roman" w:hAnsi="Times New Roman"/>
          <w:b/>
          <w:bCs/>
          <w:sz w:val="22"/>
          <w:szCs w:val="22"/>
          <w:highlight w:val="yellow"/>
        </w:rPr>
        <w:t xml:space="preserve">8.11.2 </w:t>
      </w:r>
      <w:r>
        <w:rPr>
          <w:rFonts w:cs="Times New Roman" w:ascii="Times New Roman" w:hAnsi="Times New Roman"/>
          <w:sz w:val="22"/>
          <w:szCs w:val="22"/>
          <w:highlight w:val="yellow"/>
        </w:rPr>
        <w:t>Aquisição de item isolado para o qual o preço unitário adjudicado ao vencedor seja o menor preço válido ofertado para o mesmo item na fase de lances.</w:t>
      </w:r>
    </w:p>
    <w:p>
      <w:pPr>
        <w:pStyle w:val="Padro"/>
        <w:numPr>
          <w:ilvl w:val="0"/>
          <w:numId w:val="0"/>
        </w:numPr>
        <w:spacing w:before="120" w:after="120"/>
        <w:ind w:left="1141" w:hanging="0"/>
        <w:jc w:val="both"/>
        <w:rPr>
          <w:highlight w:val="yellow"/>
        </w:rPr>
      </w:pPr>
      <w:r>
        <w:rPr>
          <w:rFonts w:cs="Times New Roman" w:ascii="Times New Roman" w:hAnsi="Times New Roman"/>
          <w:bCs/>
          <w:color w:val="000000"/>
          <w:sz w:val="22"/>
          <w:szCs w:val="22"/>
          <w:highlight w:val="yellow"/>
        </w:rPr>
        <w:br/>
      </w:r>
      <w:r>
        <w:rPr>
          <w:rFonts w:cs="Times New Roman" w:ascii="Times New Roman" w:hAnsi="Times New Roman"/>
          <w:b/>
          <w:bCs/>
          <w:color w:val="000000"/>
          <w:sz w:val="22"/>
          <w:szCs w:val="22"/>
          <w:highlight w:val="yellow"/>
        </w:rPr>
        <w:t>8.11.3</w:t>
      </w:r>
      <w:r>
        <w:rPr>
          <w:rFonts w:cs="Times New Roman" w:ascii="Times New Roman" w:hAnsi="Times New Roman"/>
          <w:bCs/>
          <w:color w:val="000000"/>
          <w:sz w:val="22"/>
          <w:szCs w:val="22"/>
          <w:highlight w:val="yellow"/>
        </w:rPr>
        <w:t>. As condições acima são necessárias tendo em vista constituir irregularidade a</w:t>
        <w:br/>
        <w:t>aquisição (emissão de empenho) de subconjunto de itens de grupo adjudicado</w:t>
        <w:br/>
        <w:t>por preço global para os quais o preço unitário adjudicado ao vencedor do lote</w:t>
        <w:br/>
        <w:t>não for o menor lance válido ofertado na disputa relativa ao item, posto que a</w:t>
        <w:br/>
        <w:t>licitação trata-se de Pregão Eletrônico SRP, podendo a administração adquirir</w:t>
        <w:br/>
        <w:t xml:space="preserve">um ou mais itens e não a totalidade do grupo. </w:t>
      </w:r>
    </w:p>
    <w:p>
      <w:pPr>
        <w:pStyle w:val="Padro"/>
        <w:numPr>
          <w:ilvl w:val="1"/>
          <w:numId w:val="1"/>
        </w:numPr>
        <w:spacing w:before="120" w:after="120"/>
        <w:jc w:val="both"/>
        <w:rPr>
          <w:highlight w:val="yellow"/>
        </w:rPr>
      </w:pPr>
      <w:r>
        <w:rPr>
          <w:rFonts w:cs="Times New Roman" w:ascii="Times New Roman" w:hAnsi="Times New Roman"/>
          <w:bCs/>
          <w:color w:val="000000"/>
          <w:sz w:val="22"/>
          <w:szCs w:val="22"/>
          <w:highlight w:val="yellow"/>
        </w:rPr>
        <w:t>Após fase de lances, o pregoeiro poderá convocar o licitante vencedor para negociar o valor dos itens, que porventura o preço unitário ofertado não for o menor lance válido ofertado na disputa relativa ao item.</w:t>
      </w:r>
    </w:p>
    <w:p>
      <w:pPr>
        <w:pStyle w:val="Padro"/>
        <w:spacing w:before="0" w:after="120"/>
        <w:ind w:left="567" w:right="-17"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1"/>
        </w:numPr>
        <w:spacing w:before="120" w:after="120"/>
        <w:ind w:left="0" w:right="0" w:hanging="0"/>
        <w:jc w:val="both"/>
        <w:rPr>
          <w:rFonts w:ascii="Times New Roman" w:hAnsi="Times New Roman" w:cs="Times New Roman"/>
          <w:b/>
          <w:b/>
          <w:color w:val="000000"/>
          <w:sz w:val="22"/>
          <w:szCs w:val="22"/>
          <w:lang w:eastAsia="en-US"/>
        </w:rPr>
      </w:pPr>
      <w:r>
        <w:rPr>
          <w:rFonts w:cs="Times New Roman" w:ascii="Times New Roman" w:hAnsi="Times New Roman"/>
          <w:b/>
          <w:color w:val="000000"/>
          <w:sz w:val="22"/>
          <w:szCs w:val="22"/>
          <w:lang w:eastAsia="en-US"/>
        </w:rPr>
        <w:t xml:space="preserve">DA HABILITAÇÃO </w:t>
      </w:r>
    </w:p>
    <w:p>
      <w:pPr>
        <w:pStyle w:val="ListParagraph"/>
        <w:numPr>
          <w:ilvl w:val="1"/>
          <w:numId w:val="1"/>
        </w:numPr>
        <w:spacing w:before="120" w:after="120"/>
        <w:ind w:left="425" w:right="0" w:hanging="0"/>
        <w:jc w:val="both"/>
        <w:rPr/>
      </w:pPr>
      <w:r>
        <w:rPr>
          <w:rFonts w:cs="Times New Roman" w:ascii="Times New Roman" w:hAnsi="Times New Roman"/>
          <w:sz w:val="22"/>
          <w:szCs w:val="22"/>
          <w:lang w:eastAsia="ar-SA"/>
        </w:rPr>
        <w:t>Como condição prévia ao exame da documentação de habilitação</w:t>
      </w:r>
      <w:r>
        <w:rPr>
          <w:rFonts w:cs="Times New Roman" w:ascii="Times New Roman" w:hAnsi="Times New Roman"/>
          <w:sz w:val="22"/>
          <w:szCs w:val="22"/>
        </w:rPr>
        <w:t xml:space="preserve"> do licitante detentor da proposta </w:t>
      </w:r>
      <w:r>
        <w:rPr>
          <w:rFonts w:cs="Times New Roman" w:ascii="Times New Roman" w:hAnsi="Times New Roman"/>
          <w:color w:val="000000"/>
          <w:sz w:val="22"/>
          <w:szCs w:val="22"/>
        </w:rPr>
        <w:t>classificada em primeiro lugar</w:t>
      </w:r>
      <w:r>
        <w:rPr>
          <w:rFonts w:cs="Times New Roman" w:ascii="Times New Roman" w:hAnsi="Times New Roman"/>
          <w:sz w:val="22"/>
          <w:szCs w:val="22"/>
          <w:lang w:eastAsia="ar-SA"/>
        </w:rPr>
        <w:t xml:space="preserve">, </w:t>
      </w:r>
      <w:r>
        <w:rPr>
          <w:rFonts w:cs="Times New Roman" w:ascii="Times New Roman" w:hAnsi="Times New Roman"/>
          <w:sz w:val="22"/>
          <w:szCs w:val="22"/>
        </w:rPr>
        <w:t xml:space="preserve">o Pregoeiro </w:t>
      </w:r>
      <w:r>
        <w:rPr>
          <w:rFonts w:cs="Times New Roman" w:ascii="Times New Roman" w:hAnsi="Times New Roman"/>
          <w:sz w:val="22"/>
          <w:szCs w:val="22"/>
          <w:lang w:eastAsia="ar-SA"/>
        </w:rPr>
        <w:t>verificará o eventual descumprimento das condições de participação, especialmente quanto à</w:t>
      </w:r>
      <w:r>
        <w:rPr>
          <w:rFonts w:cs="Times New Roman" w:ascii="Times New Roman" w:hAnsi="Times New Roman"/>
          <w:sz w:val="22"/>
          <w:szCs w:val="22"/>
        </w:rPr>
        <w:t xml:space="preserve"> existência de sanção que impeça a participação no certame ou a futura contratação, mediante a consulta aos seguintes cadastros:</w:t>
      </w:r>
    </w:p>
    <w:p>
      <w:pPr>
        <w:pStyle w:val="ListParagraph"/>
        <w:numPr>
          <w:ilvl w:val="2"/>
          <w:numId w:val="1"/>
        </w:numPr>
        <w:spacing w:before="120" w:after="120"/>
        <w:ind w:left="1134" w:right="0" w:hanging="0"/>
        <w:jc w:val="both"/>
        <w:rPr>
          <w:rFonts w:ascii="Times New Roman" w:hAnsi="Times New Roman" w:cs="Times New Roman"/>
          <w:sz w:val="22"/>
          <w:szCs w:val="22"/>
        </w:rPr>
      </w:pPr>
      <w:r>
        <w:rPr>
          <w:rFonts w:cs="Times New Roman" w:ascii="Times New Roman" w:hAnsi="Times New Roman"/>
          <w:sz w:val="22"/>
          <w:szCs w:val="22"/>
        </w:rPr>
        <w:t xml:space="preserve">SICAF; </w:t>
      </w:r>
    </w:p>
    <w:p>
      <w:pPr>
        <w:pStyle w:val="ListParagraph"/>
        <w:numPr>
          <w:ilvl w:val="2"/>
          <w:numId w:val="1"/>
        </w:numPr>
        <w:spacing w:before="120" w:after="120"/>
        <w:ind w:left="1134" w:right="0" w:hanging="0"/>
        <w:jc w:val="both"/>
        <w:rPr/>
      </w:pPr>
      <w:r>
        <w:rPr>
          <w:rFonts w:cs="Times New Roman" w:ascii="Times New Roman" w:hAnsi="Times New Roman"/>
          <w:sz w:val="22"/>
          <w:szCs w:val="22"/>
        </w:rPr>
        <w:t>Cadastro Nacional de Empresas Inidôneas e Suspensas – CEIS, mantido pela Controladoria-Geral da União (</w:t>
      </w:r>
      <w:hyperlink r:id="rId6">
        <w:r>
          <w:rPr>
            <w:rStyle w:val="LinkdaInternet"/>
            <w:rFonts w:cs="Times New Roman" w:ascii="Times New Roman" w:hAnsi="Times New Roman"/>
            <w:color w:val="0000FF"/>
            <w:sz w:val="22"/>
            <w:szCs w:val="22"/>
          </w:rPr>
          <w:t>www.portaldatransparencia.gov.br/ceis</w:t>
        </w:r>
      </w:hyperlink>
      <w:r>
        <w:rPr>
          <w:rFonts w:cs="Times New Roman" w:ascii="Times New Roman" w:hAnsi="Times New Roman"/>
          <w:sz w:val="22"/>
          <w:szCs w:val="22"/>
        </w:rPr>
        <w:t>);</w:t>
      </w:r>
    </w:p>
    <w:p>
      <w:pPr>
        <w:pStyle w:val="ListParagraph"/>
        <w:numPr>
          <w:ilvl w:val="2"/>
          <w:numId w:val="1"/>
        </w:numPr>
        <w:spacing w:before="120" w:after="120"/>
        <w:ind w:left="1134" w:right="0" w:hanging="0"/>
        <w:jc w:val="both"/>
        <w:rPr/>
      </w:pPr>
      <w:r>
        <w:rPr>
          <w:rFonts w:cs="Times New Roman" w:ascii="Times New Roman" w:hAnsi="Times New Roman"/>
          <w:bCs/>
          <w:sz w:val="22"/>
          <w:szCs w:val="22"/>
        </w:rPr>
        <w:t>Cadastro Nacional de Condenações Cíveis por Atos de Improbidade Administrativa, mantido pelo Conselho Nacional de Justiça</w:t>
      </w:r>
      <w:r>
        <w:rPr>
          <w:rFonts w:cs="Times New Roman" w:ascii="Times New Roman" w:hAnsi="Times New Roman"/>
          <w:sz w:val="22"/>
          <w:szCs w:val="22"/>
        </w:rPr>
        <w:t xml:space="preserve"> (</w:t>
      </w:r>
      <w:hyperlink r:id="rId7">
        <w:r>
          <w:rPr>
            <w:rStyle w:val="LinkdaInternet"/>
            <w:rFonts w:cs="Times New Roman" w:ascii="Times New Roman" w:hAnsi="Times New Roman"/>
            <w:color w:val="0000FF"/>
            <w:sz w:val="22"/>
            <w:szCs w:val="22"/>
          </w:rPr>
          <w:t>www.</w:t>
        </w:r>
      </w:hyperlink>
      <w:r>
        <w:rPr>
          <w:rStyle w:val="LinkdaInternet"/>
          <w:rFonts w:cs="Times New Roman" w:ascii="Times New Roman" w:hAnsi="Times New Roman"/>
          <w:bCs/>
          <w:color w:val="0000FF"/>
          <w:sz w:val="22"/>
          <w:szCs w:val="22"/>
        </w:rPr>
        <w:t>cnj</w:t>
      </w:r>
      <w:r>
        <w:rPr>
          <w:rStyle w:val="LinkdaInternet"/>
          <w:rFonts w:cs="Times New Roman" w:ascii="Times New Roman" w:hAnsi="Times New Roman"/>
          <w:color w:val="0000FF"/>
          <w:sz w:val="22"/>
          <w:szCs w:val="22"/>
        </w:rPr>
        <w:t>.jus.br/</w:t>
      </w:r>
      <w:r>
        <w:rPr>
          <w:rStyle w:val="LinkdaInternet"/>
          <w:rFonts w:cs="Times New Roman" w:ascii="Times New Roman" w:hAnsi="Times New Roman"/>
          <w:bCs/>
          <w:color w:val="0000FF"/>
          <w:sz w:val="22"/>
          <w:szCs w:val="22"/>
        </w:rPr>
        <w:t>improbidade</w:t>
      </w:r>
      <w:r>
        <w:rPr>
          <w:rStyle w:val="LinkdaInternet"/>
          <w:rFonts w:cs="Times New Roman" w:ascii="Times New Roman" w:hAnsi="Times New Roman"/>
          <w:color w:val="0000FF"/>
          <w:sz w:val="22"/>
          <w:szCs w:val="22"/>
        </w:rPr>
        <w:t>_adm/consultar_requerido.php</w:t>
      </w:r>
      <w:r>
        <w:rPr>
          <w:rFonts w:cs="Times New Roman" w:ascii="Times New Roman" w:hAnsi="Times New Roman"/>
          <w:sz w:val="22"/>
          <w:szCs w:val="22"/>
        </w:rPr>
        <w:t>).</w:t>
      </w:r>
    </w:p>
    <w:p>
      <w:pPr>
        <w:pStyle w:val="ListParagraph"/>
        <w:numPr>
          <w:ilvl w:val="2"/>
          <w:numId w:val="1"/>
        </w:numPr>
        <w:spacing w:before="120" w:after="120"/>
        <w:ind w:left="1134" w:right="0" w:hanging="0"/>
        <w:jc w:val="both"/>
        <w:rPr>
          <w:rFonts w:ascii="Times New Roman" w:hAnsi="Times New Roman" w:cs="Times New Roman"/>
          <w:sz w:val="22"/>
          <w:szCs w:val="22"/>
        </w:rPr>
      </w:pPr>
      <w:r>
        <w:rPr>
          <w:rFonts w:cs="Times New Roman" w:ascii="Times New Roman" w:hAnsi="Times New Roman"/>
          <w:sz w:val="22"/>
          <w:szCs w:val="22"/>
        </w:rPr>
        <w:t>Lista de Inidôneos, mantida pelo Tribunal de Contas da União – TCU;</w:t>
      </w:r>
    </w:p>
    <w:p>
      <w:pPr>
        <w:pStyle w:val="ListParagraph"/>
        <w:numPr>
          <w:ilvl w:val="2"/>
          <w:numId w:val="1"/>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2"/>
          <w:numId w:val="1"/>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Constatada a existência de sanção, o Pregoeiro reputará o licitante inabilitado, por falta de condição de participação.</w:t>
      </w:r>
    </w:p>
    <w:p>
      <w:pPr>
        <w:pStyle w:val="Padro"/>
        <w:numPr>
          <w:ilvl w:val="1"/>
          <w:numId w:val="1"/>
        </w:numPr>
        <w:rPr/>
      </w:pPr>
      <w:r>
        <w:rPr>
          <w:rFonts w:cs="Times New Roman" w:ascii="Times New Roman" w:hAnsi="Times New Roman"/>
          <w:bCs/>
          <w:color w:val="000000"/>
          <w:sz w:val="22"/>
          <w:szCs w:val="22"/>
        </w:rPr>
        <w:t>Os licitantes deverão apresentar a seguinte documentação relativa à Habilitação Jurídica e à Regularidade Fiscal e trabalhista</w:t>
      </w:r>
      <w:r>
        <w:rPr>
          <w:rFonts w:cs="Times New Roman" w:ascii="Times New Roman" w:hAnsi="Times New Roman"/>
          <w:color w:val="000000"/>
          <w:sz w:val="22"/>
          <w:szCs w:val="22"/>
        </w:rPr>
        <w:t>, nas condições seguintes</w:t>
      </w:r>
      <w:r>
        <w:rPr>
          <w:rFonts w:cs="Times New Roman" w:ascii="Times New Roman" w:hAnsi="Times New Roman"/>
          <w:bCs/>
          <w:color w:val="000000"/>
          <w:sz w:val="22"/>
          <w:szCs w:val="22"/>
        </w:rPr>
        <w:t>:</w:t>
      </w:r>
    </w:p>
    <w:p>
      <w:pPr>
        <w:pStyle w:val="Padro"/>
        <w:numPr>
          <w:ilvl w:val="1"/>
          <w:numId w:val="1"/>
        </w:numPr>
        <w:spacing w:before="120" w:after="120"/>
        <w:ind w:left="425"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t xml:space="preserve">Habilitação jurídica: </w:t>
      </w:r>
    </w:p>
    <w:p>
      <w:pPr>
        <w:pStyle w:val="ListParagraph"/>
        <w:numPr>
          <w:ilvl w:val="2"/>
          <w:numId w:val="1"/>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No caso de empresário individual: inscrição no Registro Público de Empresas Mercantis, a cargo da Junta Comercial da respectiva sede;</w:t>
      </w:r>
    </w:p>
    <w:p>
      <w:pPr>
        <w:pStyle w:val="ListParagraph"/>
        <w:numPr>
          <w:ilvl w:val="2"/>
          <w:numId w:val="1"/>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Em se tratando de microempreendedor individual – MEI: Certificado da Condição de Microempreendedor Individual - CCMEI, cuja aceitação ficará condicionada à verificação da autenticidade no sítio www.portaldoempreendedor.gov.br;</w:t>
      </w:r>
    </w:p>
    <w:p>
      <w:pPr>
        <w:pStyle w:val="ListParagraph"/>
        <w:numPr>
          <w:ilvl w:val="2"/>
          <w:numId w:val="1"/>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2"/>
          <w:numId w:val="1"/>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No caso de sociedade simples: inscrição do ato constitutivo no Registro Civil das Pessoas Jurídicas do local de sua sede, acompanhada de prova da indicação dos seus administradores;</w:t>
      </w:r>
    </w:p>
    <w:p>
      <w:pPr>
        <w:pStyle w:val="ListParagraph"/>
        <w:numPr>
          <w:ilvl w:val="2"/>
          <w:numId w:val="1"/>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 DREI;</w:t>
      </w:r>
    </w:p>
    <w:p>
      <w:pPr>
        <w:pStyle w:val="ListParagraph"/>
        <w:numPr>
          <w:ilvl w:val="2"/>
          <w:numId w:val="1"/>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2"/>
          <w:numId w:val="1"/>
        </w:numPr>
        <w:spacing w:before="120" w:after="120"/>
        <w:ind w:left="1134" w:right="0" w:hanging="0"/>
        <w:jc w:val="both"/>
        <w:rPr>
          <w:rFonts w:ascii="Times New Roman" w:hAnsi="Times New Roman" w:cs="Times New Roman"/>
          <w:bCs/>
          <w:sz w:val="22"/>
          <w:szCs w:val="22"/>
        </w:rPr>
      </w:pPr>
      <w:r>
        <w:rPr>
          <w:rFonts w:cs="Times New Roman" w:ascii="Times New Roman" w:hAnsi="Times New Roman"/>
          <w:bCs/>
          <w:sz w:val="22"/>
          <w:szCs w:val="22"/>
        </w:rPr>
        <w:t>No caso de agricultor familiar: Declaração de Aptidão ao Pronaf – DAP ou DAP-P válida, ou, ainda, outros documentos definidos nos termos do art. 4º, §2º do Decreto n. 7.775, de 2012.</w:t>
      </w:r>
    </w:p>
    <w:p>
      <w:pPr>
        <w:pStyle w:val="ListParagraph"/>
        <w:numPr>
          <w:ilvl w:val="2"/>
          <w:numId w:val="1"/>
        </w:numPr>
        <w:spacing w:before="120" w:after="120"/>
        <w:ind w:left="1134" w:right="0" w:hanging="0"/>
        <w:jc w:val="both"/>
        <w:rPr>
          <w:rFonts w:ascii="Times New Roman" w:hAnsi="Times New Roman" w:cs="Times New Roman"/>
          <w:bCs/>
          <w:sz w:val="22"/>
          <w:szCs w:val="22"/>
        </w:rPr>
      </w:pPr>
      <w:r>
        <w:rPr>
          <w:rFonts w:cs="Times New Roman" w:ascii="Times New Roman" w:hAnsi="Times New Roman"/>
          <w:bCs/>
          <w:sz w:val="22"/>
          <w:szCs w:val="22"/>
        </w:rPr>
        <w:t>No caso de produtor rural: matrícula no Cadastro Específico do INSS – CEI, que comprove a qualificação como produtor rural pessoa física, nos termos da Instrução Normativa RFB n. 971, de 2009 (arts. 17 a 19 e 165).</w:t>
      </w:r>
    </w:p>
    <w:p>
      <w:pPr>
        <w:pStyle w:val="ListParagraph"/>
        <w:numPr>
          <w:ilvl w:val="2"/>
          <w:numId w:val="1"/>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No caso de empresa ou sociedade estrangeira em funcionamento no País: decreto de autorização;</w:t>
      </w:r>
    </w:p>
    <w:p>
      <w:pPr>
        <w:pStyle w:val="ListParagraph"/>
        <w:numPr>
          <w:ilvl w:val="2"/>
          <w:numId w:val="1"/>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Os documentos acima deverão estar acompanhados de todas as alterações ou da consolidação respectiva;</w:t>
      </w:r>
    </w:p>
    <w:p>
      <w:pPr>
        <w:pStyle w:val="Padro"/>
        <w:numPr>
          <w:ilvl w:val="1"/>
          <w:numId w:val="1"/>
        </w:numPr>
        <w:spacing w:before="120" w:after="120"/>
        <w:ind w:left="425"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t>Regularidade fiscal e trabalhista:</w:t>
      </w:r>
    </w:p>
    <w:p>
      <w:pPr>
        <w:pStyle w:val="Padro"/>
        <w:numPr>
          <w:ilvl w:val="2"/>
          <w:numId w:val="1"/>
        </w:numPr>
        <w:spacing w:before="120" w:after="120"/>
        <w:ind w:left="1134" w:right="0" w:hanging="0"/>
        <w:jc w:val="both"/>
        <w:rPr>
          <w:rFonts w:ascii="Times New Roman" w:hAnsi="Times New Roman" w:cs="Times New Roman"/>
          <w:sz w:val="22"/>
          <w:szCs w:val="22"/>
          <w:lang w:eastAsia="en-US"/>
        </w:rPr>
      </w:pPr>
      <w:r>
        <w:rPr>
          <w:rFonts w:cs="Times New Roman" w:ascii="Times New Roman" w:hAnsi="Times New Roman"/>
          <w:sz w:val="22"/>
          <w:szCs w:val="22"/>
          <w:lang w:eastAsia="en-US"/>
        </w:rPr>
        <w:t>prova de inscrição no Cadastro Nacional de Pessoas Jurídicas ou no Cadastro de Pessoas Físicas, conforme o caso;</w:t>
      </w:r>
    </w:p>
    <w:p>
      <w:pPr>
        <w:pStyle w:val="Padro"/>
        <w:numPr>
          <w:ilvl w:val="2"/>
          <w:numId w:val="1"/>
        </w:numPr>
        <w:spacing w:before="120" w:after="120"/>
        <w:ind w:left="1134" w:right="0" w:hanging="0"/>
        <w:jc w:val="both"/>
        <w:rPr>
          <w:rFonts w:ascii="Times New Roman" w:hAnsi="Times New Roman" w:cs="Times New Roman"/>
          <w:sz w:val="22"/>
          <w:szCs w:val="22"/>
        </w:rPr>
      </w:pPr>
      <w:r>
        <w:rPr>
          <w:rFonts w:cs="Times New Roman" w:ascii="Times New Roman" w:hAnsi="Times New Roman"/>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Padro"/>
        <w:numPr>
          <w:ilvl w:val="2"/>
          <w:numId w:val="1"/>
        </w:numPr>
        <w:spacing w:before="120" w:after="120"/>
        <w:ind w:left="1134"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prova de regularidade com o Fundo de Garantia do Tempo de Serviço (FGTS)</w:t>
      </w:r>
    </w:p>
    <w:p>
      <w:pPr>
        <w:pStyle w:val="Padro"/>
        <w:numPr>
          <w:ilvl w:val="2"/>
          <w:numId w:val="1"/>
        </w:numPr>
        <w:spacing w:before="120" w:after="120"/>
        <w:ind w:left="1134" w:right="0" w:hanging="0"/>
        <w:jc w:val="both"/>
        <w:rPr>
          <w:rFonts w:ascii="Times New Roman" w:hAnsi="Times New Roman" w:cs="Times New Roman"/>
          <w:sz w:val="22"/>
          <w:szCs w:val="22"/>
          <w:lang w:eastAsia="en-US"/>
        </w:rPr>
      </w:pPr>
      <w:r>
        <w:rPr>
          <w:rFonts w:cs="Times New Roman" w:ascii="Times New Roman" w:hAnsi="Times New Roman"/>
          <w:sz w:val="22"/>
          <w:szCs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Padro"/>
        <w:numPr>
          <w:ilvl w:val="2"/>
          <w:numId w:val="1"/>
        </w:numPr>
        <w:tabs>
          <w:tab w:val="left" w:pos="567" w:leader="none"/>
          <w:tab w:val="left" w:pos="1701" w:leader="none"/>
          <w:tab w:val="left" w:pos="2835" w:leader="none"/>
          <w:tab w:val="left" w:pos="3969" w:leader="none"/>
          <w:tab w:val="left" w:pos="5976" w:leader="none"/>
        </w:tabs>
        <w:spacing w:before="120" w:after="120"/>
        <w:ind w:left="1134" w:right="0" w:hanging="0"/>
        <w:jc w:val="both"/>
        <w:rPr/>
      </w:pPr>
      <w:r>
        <w:rPr>
          <w:rFonts w:cs="Times New Roman" w:ascii="Times New Roman" w:hAnsi="Times New Roman"/>
          <w:color w:val="000000"/>
          <w:sz w:val="22"/>
          <w:szCs w:val="22"/>
          <w:lang w:eastAsia="en-US" w:bidi="pt-BR"/>
        </w:rPr>
        <w:t xml:space="preserve">caso o licitante detentor do menor preço seja qualificado como microempresa ou empresa de pequeno porte </w:t>
      </w:r>
      <w:r>
        <w:rPr>
          <w:rFonts w:cs="Times New Roman" w:ascii="Times New Roman" w:hAnsi="Times New Roman"/>
          <w:color w:val="000000"/>
          <w:sz w:val="22"/>
          <w:szCs w:val="22"/>
          <w:lang w:eastAsia="en-US"/>
        </w:rPr>
        <w:t xml:space="preserve">deverá apresentar toda a documentação exigida para efeito de comprovação de regularidade fiscal, mesmo que esta apresente alguma restrição, sob pena de inabilitação. </w:t>
      </w:r>
    </w:p>
    <w:p>
      <w:pPr>
        <w:pStyle w:val="Padro"/>
        <w:numPr>
          <w:ilvl w:val="1"/>
          <w:numId w:val="1"/>
        </w:numPr>
        <w:spacing w:before="120" w:after="120"/>
        <w:jc w:val="both"/>
        <w:rPr/>
      </w:pPr>
      <w:r>
        <w:rPr>
          <w:rFonts w:cs="Times New Roman" w:ascii="Times New Roman" w:hAnsi="Times New Roman"/>
          <w:bCs/>
          <w:iCs/>
          <w:color w:val="00000A"/>
          <w:sz w:val="22"/>
          <w:szCs w:val="22"/>
        </w:rPr>
        <w:t>As empresas, deverão comprovar, ainda, a qualificação técnica, por meio de:</w:t>
      </w:r>
    </w:p>
    <w:p>
      <w:pPr>
        <w:pStyle w:val="Padro"/>
        <w:numPr>
          <w:ilvl w:val="2"/>
          <w:numId w:val="1"/>
        </w:numPr>
        <w:spacing w:before="120" w:after="120"/>
        <w:jc w:val="both"/>
        <w:rPr>
          <w:rFonts w:ascii="Times New Roman" w:hAnsi="Times New Roman" w:cs="Times New Roman"/>
          <w:color w:val="00000A"/>
          <w:sz w:val="22"/>
          <w:szCs w:val="22"/>
        </w:rPr>
      </w:pPr>
      <w:r>
        <w:rPr>
          <w:rFonts w:cs="Times New Roman" w:ascii="Times New Roman" w:hAnsi="Times New Roman"/>
          <w:color w:val="00000A"/>
          <w:sz w:val="22"/>
          <w:szCs w:val="22"/>
        </w:rPr>
        <w:t xml:space="preserve"> </w:t>
      </w:r>
      <w:r>
        <w:rPr>
          <w:rFonts w:cs="Times New Roman" w:ascii="Times New Roman" w:hAnsi="Times New Roman"/>
          <w:color w:val="00000A"/>
          <w:sz w:val="22"/>
          <w:szCs w:val="22"/>
        </w:rPr>
        <w:t>Comprovação de aptidão para o fornecimento de bens em características, quantidades e prazos compatíveis com o objeto desta licitação, ou com o grupo pertinente, por meio da apresentação de atestados fornecidos por pessoas jurídicas de direito público ou privado.</w:t>
      </w:r>
    </w:p>
    <w:p>
      <w:pPr>
        <w:pStyle w:val="ListParagraph"/>
        <w:numPr>
          <w:ilvl w:val="1"/>
          <w:numId w:val="1"/>
        </w:numPr>
        <w:tabs>
          <w:tab w:val="left" w:pos="567" w:leader="none"/>
          <w:tab w:val="left" w:pos="993" w:leader="none"/>
          <w:tab w:val="left" w:pos="1419" w:leader="none"/>
          <w:tab w:val="left" w:pos="1845" w:leader="none"/>
          <w:tab w:val="left" w:pos="3144" w:leader="none"/>
        </w:tabs>
        <w:spacing w:before="120" w:after="120"/>
        <w:ind w:left="426" w:right="0" w:hanging="0"/>
        <w:jc w:val="both"/>
        <w:rPr>
          <w:rFonts w:ascii="Times New Roman" w:hAnsi="Times New Roman" w:cs="Times New Roman"/>
          <w:bCs/>
          <w:sz w:val="22"/>
          <w:szCs w:val="22"/>
        </w:rPr>
      </w:pPr>
      <w:r>
        <w:rPr>
          <w:rFonts w:cs="Times New Roman" w:ascii="Times New Roman" w:hAnsi="Times New Roman"/>
          <w:bCs/>
          <w:sz w:val="22"/>
          <w:szCs w:val="22"/>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numPr>
          <w:ilvl w:val="1"/>
          <w:numId w:val="1"/>
        </w:numPr>
        <w:spacing w:lineRule="auto" w:line="276" w:before="120" w:after="120"/>
        <w:jc w:val="both"/>
        <w:rPr/>
      </w:pPr>
      <w:r>
        <w:rPr>
          <w:rFonts w:eastAsia="Times New Roman" w:cs="Times New Roman" w:ascii="Times New Roman" w:hAnsi="Times New Roman"/>
          <w:bCs/>
          <w:color w:val="00000A"/>
          <w:sz w:val="22"/>
          <w:szCs w:val="22"/>
          <w:lang w:val="pt-BR" w:eastAsia="pt-BR" w:bidi="ar-SA"/>
        </w:rPr>
        <w:t xml:space="preserve">Os documentos exigidos para habilitação relacionados nos subitens acima, deverão ser apresentados em meio digital pelos licitantes, por meio de funcionalidade presente no sistema (upload), no prazo de </w:t>
      </w:r>
      <w:r>
        <w:rPr>
          <w:rFonts w:eastAsia="Times New Roman" w:cs="Times New Roman" w:ascii="Times New Roman" w:hAnsi="Times New Roman"/>
          <w:b/>
          <w:bCs/>
          <w:color w:val="00000A"/>
          <w:sz w:val="22"/>
          <w:szCs w:val="22"/>
          <w:u w:val="single"/>
          <w:lang w:val="pt-BR" w:eastAsia="pt-BR" w:bidi="ar-SA"/>
        </w:rPr>
        <w:t>02(duas) horas</w:t>
      </w:r>
      <w:r>
        <w:rPr>
          <w:rFonts w:eastAsia="Times New Roman" w:cs="Times New Roman" w:ascii="Times New Roman" w:hAnsi="Times New Roman"/>
          <w:bCs/>
          <w:color w:val="00000A"/>
          <w:sz w:val="22"/>
          <w:szCs w:val="22"/>
          <w:lang w:val="pt-BR" w:eastAsia="pt-BR" w:bidi="ar-SA"/>
        </w:rPr>
        <w:t xml:space="preserve">, após solicitação do Pregoeiro no sistema eletrônico. Somente mediante autorização do Pregoeiro e em caso de indisponibilidade do sistema, será aceito o envio da documentação por meio do e-mail </w:t>
      </w:r>
      <w:r>
        <w:rPr>
          <w:rStyle w:val="Fontepargpadro"/>
          <w:rFonts w:eastAsia="Times New Roman" w:cs="Times New Roman" w:ascii="Times New Roman" w:hAnsi="Times New Roman"/>
          <w:b/>
          <w:bCs/>
          <w:color w:val="00000A"/>
          <w:spacing w:val="0"/>
          <w:sz w:val="22"/>
          <w:szCs w:val="22"/>
          <w:u w:val="none"/>
          <w:lang w:val="pt-BR" w:eastAsia="pt-BR" w:bidi="ar-SA"/>
        </w:rPr>
        <w:t>licitacoes@ifsertao-pe.edu.br,</w:t>
      </w:r>
      <w:r>
        <w:rPr>
          <w:rFonts w:eastAsia="Times New Roman" w:cs="Times New Roman" w:ascii="Times New Roman" w:hAnsi="Times New Roman"/>
          <w:bCs/>
          <w:color w:val="00000A"/>
          <w:sz w:val="22"/>
          <w:szCs w:val="22"/>
          <w:lang w:val="pt-BR" w:eastAsia="pt-BR" w:bidi="ar-SA"/>
        </w:rPr>
        <w:t xml:space="preserve">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w:t>
      </w:r>
      <w:r>
        <w:rPr>
          <w:rFonts w:eastAsia="Times New Roman" w:cs="Times New Roman" w:ascii="Times New Roman" w:hAnsi="Times New Roman"/>
          <w:b/>
          <w:bCs/>
          <w:color w:val="00000A"/>
          <w:sz w:val="22"/>
          <w:szCs w:val="22"/>
          <w:u w:val="single"/>
          <w:lang w:val="pt-BR" w:eastAsia="pt-BR" w:bidi="ar-SA"/>
        </w:rPr>
        <w:t>05(cinco) dias</w:t>
      </w:r>
      <w:r>
        <w:rPr>
          <w:rFonts w:eastAsia="Times New Roman" w:cs="Times New Roman" w:ascii="Times New Roman" w:hAnsi="Times New Roman"/>
          <w:bCs/>
          <w:color w:val="00000A"/>
          <w:sz w:val="22"/>
          <w:szCs w:val="22"/>
          <w:lang w:val="pt-BR" w:eastAsia="pt-BR" w:bidi="ar-SA"/>
        </w:rPr>
        <w:t xml:space="preserve"> após encerrado o prazo para o encaminhamento via funcionalidade do sistema (upload) ou email.</w:t>
      </w:r>
    </w:p>
    <w:p>
      <w:pPr>
        <w:pStyle w:val="ListParagraph"/>
        <w:numPr>
          <w:ilvl w:val="2"/>
          <w:numId w:val="1"/>
        </w:numPr>
        <w:spacing w:before="120" w:after="120"/>
        <w:ind w:left="1134" w:right="0" w:hanging="0"/>
        <w:jc w:val="both"/>
        <w:rPr/>
      </w:pPr>
      <w:r>
        <w:rPr>
          <w:rFonts w:cs="Times New Roman" w:ascii="Times New Roman" w:hAnsi="Times New Roman"/>
          <w:bCs/>
          <w:sz w:val="22"/>
          <w:szCs w:val="22"/>
        </w:rPr>
        <w:t>Não serão aceitos documentos com indicação de CNPJ/CPF diferentes, salvo aqueles legalmente permitidos.</w:t>
      </w:r>
    </w:p>
    <w:p>
      <w:pPr>
        <w:pStyle w:val="Padro"/>
        <w:numPr>
          <w:ilvl w:val="0"/>
          <w:numId w:val="0"/>
        </w:numPr>
        <w:spacing w:before="120" w:after="120"/>
        <w:ind w:left="708" w:right="0" w:hanging="0"/>
        <w:jc w:val="both"/>
        <w:rPr>
          <w:highlight w:val="yellow"/>
        </w:rPr>
      </w:pPr>
      <w:r>
        <w:rPr>
          <w:rFonts w:cs="Times New Roman" w:ascii="Times New Roman" w:hAnsi="Times New Roman"/>
          <w:b/>
          <w:bCs/>
          <w:color w:val="000000"/>
          <w:sz w:val="22"/>
          <w:szCs w:val="22"/>
          <w:highlight w:val="yellow"/>
          <w:lang w:eastAsia="en-US"/>
        </w:rPr>
        <w:t>9.8</w:t>
      </w:r>
      <w:r>
        <w:rPr>
          <w:rFonts w:cs="Times New Roman" w:ascii="Times New Roman" w:hAnsi="Times New Roman"/>
          <w:bCs/>
          <w:color w:val="000000"/>
          <w:sz w:val="22"/>
          <w:szCs w:val="22"/>
          <w:highlight w:val="yellow"/>
          <w:lang w:eastAsia="en-US"/>
        </w:rPr>
        <w:t xml:space="preserve"> a comprovação das regularidades fiscal e trabalhista, da qualificação econômico-financeira e da habilitação jurídica dar-se-á, primeiramente, por meio de consulta ao cadastro do SICAF via verificação online na fase de habilitação.</w:t>
      </w:r>
    </w:p>
    <w:p>
      <w:pPr>
        <w:pStyle w:val="Padro"/>
        <w:numPr>
          <w:ilvl w:val="0"/>
          <w:numId w:val="0"/>
        </w:numPr>
        <w:spacing w:before="120" w:after="120"/>
        <w:ind w:left="3056" w:right="0" w:hanging="0"/>
        <w:jc w:val="both"/>
        <w:rPr/>
      </w:pPr>
      <w:r>
        <w:rPr>
          <w:rFonts w:cs="Times New Roman" w:ascii="Times New Roman" w:hAnsi="Times New Roman"/>
          <w:b/>
          <w:bCs/>
          <w:color w:val="000000"/>
          <w:sz w:val="22"/>
          <w:szCs w:val="22"/>
        </w:rPr>
        <w:t>9.8.1</w:t>
      </w:r>
      <w:r>
        <w:rPr>
          <w:rFonts w:cs="Times New Roman" w:ascii="Times New Roman" w:hAnsi="Times New Roman"/>
          <w:color w:val="000000"/>
          <w:sz w:val="22"/>
          <w:szCs w:val="22"/>
        </w:rPr>
        <w:t xml:space="preserve"> Também poderão ser consultados </w:t>
      </w:r>
      <w:r>
        <w:rPr>
          <w:rFonts w:cs="Times New Roman" w:ascii="Times New Roman" w:hAnsi="Times New Roman"/>
          <w:bCs/>
          <w:color w:val="000000"/>
          <w:sz w:val="22"/>
          <w:szCs w:val="22"/>
        </w:rPr>
        <w:t xml:space="preserve">os sítios oficiais emissores de certidões, especialmente quando </w:t>
      </w:r>
      <w:r>
        <w:rPr>
          <w:rFonts w:cs="Times New Roman" w:ascii="Times New Roman" w:hAnsi="Times New Roman"/>
          <w:color w:val="000000"/>
          <w:sz w:val="22"/>
          <w:szCs w:val="22"/>
        </w:rPr>
        <w:t>o licitante esteja com alguma documentação vencida junto ao SICAF</w:t>
      </w:r>
      <w:r>
        <w:rPr>
          <w:rFonts w:cs="Times New Roman" w:ascii="Times New Roman" w:hAnsi="Times New Roman"/>
          <w:bCs/>
          <w:color w:val="000000"/>
          <w:sz w:val="22"/>
          <w:szCs w:val="22"/>
        </w:rPr>
        <w:t>.</w:t>
      </w:r>
    </w:p>
    <w:p>
      <w:pPr>
        <w:pStyle w:val="Padro"/>
        <w:numPr>
          <w:ilvl w:val="0"/>
          <w:numId w:val="0"/>
        </w:numPr>
        <w:spacing w:before="120" w:after="120"/>
        <w:ind w:left="3056" w:right="0" w:hanging="0"/>
        <w:jc w:val="both"/>
        <w:rPr/>
      </w:pPr>
      <w:r>
        <w:rPr>
          <w:rFonts w:cs="Times New Roman" w:ascii="Times New Roman" w:hAnsi="Times New Roman"/>
          <w:b/>
          <w:bCs/>
          <w:color w:val="000000"/>
          <w:sz w:val="22"/>
          <w:szCs w:val="22"/>
        </w:rPr>
        <w:t xml:space="preserve">9.8.2. </w:t>
      </w:r>
      <w:r>
        <w:rPr>
          <w:rFonts w:cs="Times New Roman" w:ascii="Times New Roman" w:hAnsi="Times New Roman"/>
          <w:color w:val="000000"/>
          <w:sz w:val="22"/>
          <w:szCs w:val="22"/>
        </w:rPr>
        <w:t xml:space="preserve">Caso o Pregoeiro não logre êxito em obter a certidão correspondente através do sítio oficial, </w:t>
      </w:r>
      <w:r>
        <w:rPr>
          <w:rFonts w:cs="Times New Roman" w:ascii="Times New Roman" w:hAnsi="Times New Roman"/>
          <w:sz w:val="22"/>
          <w:szCs w:val="22"/>
        </w:rPr>
        <w:t>ou na hipótese de se encontrar vencida no referido sistema</w:t>
      </w:r>
      <w:r>
        <w:rPr>
          <w:rFonts w:cs="Times New Roman" w:ascii="Times New Roman" w:hAnsi="Times New Roman"/>
          <w:b/>
          <w:sz w:val="22"/>
          <w:szCs w:val="22"/>
          <w:u w:val="single"/>
        </w:rPr>
        <w:t>,</w:t>
      </w:r>
      <w:r>
        <w:rPr>
          <w:rFonts w:cs="Times New Roman" w:ascii="Times New Roman" w:hAnsi="Times New Roman"/>
          <w:sz w:val="22"/>
          <w:szCs w:val="22"/>
        </w:rPr>
        <w:t xml:space="preserve"> o licitante </w:t>
      </w:r>
      <w:r>
        <w:rPr>
          <w:rFonts w:cs="Times New Roman" w:ascii="Times New Roman" w:hAnsi="Times New Roman"/>
          <w:color w:val="000000"/>
          <w:sz w:val="22"/>
          <w:szCs w:val="22"/>
        </w:rPr>
        <w:t xml:space="preserve">será convocado a encaminhar, no prazo de </w:t>
      </w:r>
      <w:r>
        <w:rPr>
          <w:rFonts w:cs="Times New Roman" w:ascii="Times New Roman" w:hAnsi="Times New Roman"/>
          <w:bCs/>
          <w:color w:val="000000"/>
          <w:sz w:val="22"/>
          <w:szCs w:val="22"/>
        </w:rPr>
        <w:t>02 (duas) horas</w:t>
      </w:r>
      <w:r>
        <w:rPr>
          <w:rFonts w:cs="Times New Roman" w:ascii="Times New Roman" w:hAnsi="Times New Roman"/>
          <w:color w:val="000000"/>
          <w:sz w:val="22"/>
          <w:szCs w:val="22"/>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pPr>
        <w:pStyle w:val="ListParagraph"/>
        <w:numPr>
          <w:ilvl w:val="0"/>
          <w:numId w:val="0"/>
        </w:numPr>
        <w:spacing w:before="120" w:after="120"/>
        <w:ind w:left="1566" w:right="0" w:hanging="0"/>
        <w:jc w:val="both"/>
        <w:rPr>
          <w:rFonts w:ascii="Times New Roman" w:hAnsi="Times New Roman" w:cs="Times New Roman"/>
          <w:bCs/>
          <w:color w:val="000000"/>
          <w:sz w:val="22"/>
          <w:szCs w:val="22"/>
        </w:rPr>
      </w:pPr>
      <w:r>
        <w:rPr>
          <w:rFonts w:cs="Times New Roman" w:ascii="Times New Roman" w:hAnsi="Times New Roman"/>
          <w:b/>
          <w:bCs/>
          <w:color w:val="000000"/>
          <w:sz w:val="22"/>
          <w:szCs w:val="22"/>
        </w:rPr>
        <w:t xml:space="preserve">9.9. </w:t>
      </w:r>
      <w:r>
        <w:rPr>
          <w:rFonts w:cs="Times New Roman" w:ascii="Times New Roman" w:hAnsi="Times New Roman"/>
          <w:bCs/>
          <w:color w:val="000000"/>
          <w:sz w:val="22"/>
          <w:szCs w:val="22"/>
        </w:rPr>
        <w:t>A existência de restrição relativamente à regularidade fiscal não impede que a licitante qualificada como microempresa ou empresa de pequeno porte seja declarada vencedora, uma vez que atenda a todas as demais exigências do edital.</w:t>
      </w:r>
    </w:p>
    <w:p>
      <w:pPr>
        <w:pStyle w:val="ListParagraph"/>
        <w:numPr>
          <w:ilvl w:val="0"/>
          <w:numId w:val="0"/>
        </w:numPr>
        <w:spacing w:before="120" w:after="120"/>
        <w:ind w:left="3056" w:right="0" w:hanging="0"/>
        <w:jc w:val="both"/>
        <w:rPr/>
      </w:pPr>
      <w:r>
        <w:rPr>
          <w:rFonts w:cs="Times New Roman" w:ascii="Times New Roman" w:hAnsi="Times New Roman"/>
          <w:b/>
          <w:bCs/>
          <w:color w:val="000000"/>
          <w:sz w:val="22"/>
          <w:szCs w:val="22"/>
        </w:rPr>
        <w:t>9.9.1.</w:t>
      </w:r>
      <w:r>
        <w:rPr>
          <w:rFonts w:cs="Times New Roman" w:ascii="Times New Roman" w:hAnsi="Times New Roman"/>
          <w:bCs/>
          <w:color w:val="000000"/>
          <w:sz w:val="22"/>
          <w:szCs w:val="22"/>
        </w:rPr>
        <w:t xml:space="preserve"> A declaração do vencedor acontecerá no momento imediatamente posterior à fase de habilitação.</w:t>
      </w:r>
    </w:p>
    <w:p>
      <w:pPr>
        <w:pStyle w:val="ListParagraph"/>
        <w:numPr>
          <w:ilvl w:val="0"/>
          <w:numId w:val="0"/>
        </w:numPr>
        <w:spacing w:before="120" w:after="120"/>
        <w:ind w:left="708" w:right="0" w:hanging="0"/>
        <w:jc w:val="both"/>
        <w:rPr/>
      </w:pPr>
      <w:r>
        <w:rPr>
          <w:rFonts w:cs="Times New Roman" w:ascii="Times New Roman" w:hAnsi="Times New Roman"/>
          <w:b/>
          <w:bCs/>
          <w:color w:val="000000"/>
          <w:sz w:val="22"/>
          <w:szCs w:val="22"/>
        </w:rPr>
        <w:t xml:space="preserve">9.10 </w:t>
      </w:r>
      <w:r>
        <w:rPr>
          <w:rFonts w:cs="Times New Roman" w:ascii="Times New Roman" w:hAnsi="Times New Roman"/>
          <w:bCs/>
          <w:color w:val="000000"/>
          <w:sz w:val="22"/>
          <w:szCs w:val="22"/>
        </w:rPr>
        <w:t>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numPr>
          <w:ilvl w:val="0"/>
          <w:numId w:val="0"/>
        </w:numPr>
        <w:spacing w:before="120" w:after="120"/>
        <w:ind w:left="708" w:right="0" w:hanging="0"/>
        <w:jc w:val="both"/>
        <w:rPr/>
      </w:pPr>
      <w:r>
        <w:rPr>
          <w:rFonts w:cs="Times New Roman" w:ascii="Times New Roman" w:hAnsi="Times New Roman"/>
          <w:b/>
          <w:bCs/>
          <w:color w:val="000000"/>
          <w:sz w:val="22"/>
          <w:szCs w:val="22"/>
        </w:rPr>
        <w:t>9.11.</w:t>
      </w:r>
      <w:r>
        <w:rPr>
          <w:rFonts w:cs="Times New Roman" w:ascii="Times New Roman" w:hAnsi="Times New Roman"/>
          <w:bCs/>
          <w:color w:val="000000"/>
          <w:sz w:val="22"/>
          <w:szCs w:val="22"/>
        </w:rPr>
        <w:t xml:space="preserve"> A não regularização fiscal no prazo previsto no subitem anterior acarretará a inabilitação do licitante, sem prejuízo das sanções previstas neste Edital, com a reabertura da sessão pública.</w:t>
      </w:r>
    </w:p>
    <w:p>
      <w:pPr>
        <w:pStyle w:val="Padro"/>
        <w:numPr>
          <w:ilvl w:val="0"/>
          <w:numId w:val="0"/>
        </w:numPr>
        <w:spacing w:before="120" w:after="120"/>
        <w:ind w:left="708" w:right="0" w:hanging="0"/>
        <w:jc w:val="both"/>
        <w:rPr/>
      </w:pPr>
      <w:r>
        <w:rPr>
          <w:rFonts w:cs="Times New Roman" w:ascii="Times New Roman" w:hAnsi="Times New Roman"/>
          <w:b/>
          <w:bCs/>
          <w:color w:val="000000"/>
          <w:sz w:val="22"/>
          <w:szCs w:val="22"/>
        </w:rPr>
        <w:t>9.12.</w:t>
      </w:r>
      <w:r>
        <w:rPr>
          <w:rFonts w:cs="Times New Roman" w:ascii="Times New Roman" w:hAnsi="Times New Roman"/>
          <w:color w:val="000000"/>
          <w:sz w:val="22"/>
          <w:szCs w:val="22"/>
        </w:rPr>
        <w:t xml:space="preserve"> Havendo necessidade de analisar minuciosamente os documentos exigidos, o Pregoeiro suspenderá a sessão, informando no “chat” a nova data e horário para a continuidade da mesma.</w:t>
      </w:r>
    </w:p>
    <w:p>
      <w:pPr>
        <w:pStyle w:val="Padro"/>
        <w:numPr>
          <w:ilvl w:val="0"/>
          <w:numId w:val="0"/>
        </w:numPr>
        <w:spacing w:before="120" w:after="120"/>
        <w:ind w:left="708" w:right="0" w:hanging="0"/>
        <w:jc w:val="both"/>
        <w:rPr/>
      </w:pPr>
      <w:r>
        <w:rPr>
          <w:rFonts w:cs="Times New Roman" w:ascii="Times New Roman" w:hAnsi="Times New Roman"/>
          <w:b/>
          <w:bCs/>
          <w:color w:val="000000"/>
          <w:sz w:val="22"/>
          <w:szCs w:val="22"/>
        </w:rPr>
        <w:t>9.13.</w:t>
      </w:r>
      <w:r>
        <w:rPr>
          <w:rFonts w:cs="Times New Roman" w:ascii="Times New Roman" w:hAnsi="Times New Roman"/>
          <w:color w:val="000000"/>
          <w:sz w:val="22"/>
          <w:szCs w:val="22"/>
        </w:rPr>
        <w:t xml:space="preserve"> Será inabilitado o licitante que não comprovar sua habilitação, deixar de apresentar quaisquer dos documentos exigidos para a habilitação, ou apresentá-los em desacordo com o e</w:t>
      </w:r>
      <w:r>
        <w:rPr>
          <w:rFonts w:cs="Times New Roman" w:ascii="Times New Roman" w:hAnsi="Times New Roman"/>
          <w:color w:val="000000"/>
          <w:sz w:val="22"/>
          <w:szCs w:val="22"/>
          <w:lang w:eastAsia="en-US"/>
        </w:rPr>
        <w:t>stabelecido neste Edital.</w:t>
      </w:r>
    </w:p>
    <w:p>
      <w:pPr>
        <w:pStyle w:val="Padro"/>
        <w:numPr>
          <w:ilvl w:val="0"/>
          <w:numId w:val="0"/>
        </w:numPr>
        <w:spacing w:before="120" w:after="120"/>
        <w:ind w:left="708" w:right="0" w:hanging="0"/>
        <w:jc w:val="both"/>
        <w:rPr/>
      </w:pPr>
      <w:r>
        <w:rPr>
          <w:rFonts w:cs="Times New Roman" w:ascii="Times New Roman" w:hAnsi="Times New Roman"/>
          <w:b/>
          <w:bCs/>
          <w:color w:val="000000"/>
          <w:sz w:val="22"/>
          <w:szCs w:val="22"/>
          <w:lang w:eastAsia="en-US"/>
        </w:rPr>
        <w:t>9.14.</w:t>
      </w:r>
      <w:r>
        <w:rPr>
          <w:rFonts w:cs="Times New Roman" w:ascii="Times New Roman" w:hAnsi="Times New Roman"/>
          <w:color w:val="000000"/>
          <w:sz w:val="22"/>
          <w:szCs w:val="22"/>
          <w:lang w:eastAsia="en-US"/>
        </w:rPr>
        <w:t xml:space="preserve"> Nos itens não exclusivos a microempresas, empresas de pequeno porte e sociedades cooperativas, em havendo inabilitação, haverá nova verificação, pelo sistema, da eventual ocorrência do empate ficto, previsto nos artigos </w:t>
      </w:r>
      <w:r>
        <w:rPr>
          <w:rFonts w:cs="Times New Roman" w:ascii="Times New Roman" w:hAnsi="Times New Roman"/>
          <w:bCs/>
          <w:color w:val="000000"/>
          <w:sz w:val="22"/>
          <w:szCs w:val="22"/>
          <w:lang w:eastAsia="en-US"/>
        </w:rPr>
        <w:t>44 e 45 da LC nº 123, de 2006, seguindo-se a disciplina antes estabelecida para aceitação da proposta subsequente.</w:t>
      </w:r>
    </w:p>
    <w:p>
      <w:pPr>
        <w:pStyle w:val="Padro"/>
        <w:numPr>
          <w:ilvl w:val="0"/>
          <w:numId w:val="0"/>
        </w:numPr>
        <w:spacing w:before="120" w:after="120"/>
        <w:ind w:left="708" w:right="0" w:hanging="0"/>
        <w:jc w:val="both"/>
        <w:rPr/>
      </w:pPr>
      <w:r>
        <w:rPr>
          <w:rFonts w:cs="Times New Roman" w:ascii="Times New Roman" w:hAnsi="Times New Roman"/>
          <w:b/>
          <w:bCs/>
          <w:color w:val="000000"/>
          <w:sz w:val="22"/>
          <w:szCs w:val="22"/>
          <w:lang w:eastAsia="en-US"/>
        </w:rPr>
        <w:t xml:space="preserve">9.15. </w:t>
      </w:r>
      <w:r>
        <w:rPr>
          <w:rFonts w:cs="Times New Roman" w:ascii="Times New Roman" w:hAnsi="Times New Roman"/>
          <w:color w:val="000000"/>
          <w:sz w:val="22"/>
          <w:szCs w:val="22"/>
          <w:lang w:eastAsia="en-US"/>
        </w:rPr>
        <w:t>Da sessão pública do Pregão divulgar-se-á Ata no sistema eletrônico.</w:t>
      </w:r>
    </w:p>
    <w:p>
      <w:pPr>
        <w:pStyle w:val="Padro"/>
        <w:numPr>
          <w:ilvl w:val="0"/>
          <w:numId w:val="0"/>
        </w:numPr>
        <w:spacing w:before="120" w:after="120"/>
        <w:ind w:left="708" w:right="0" w:hanging="0"/>
        <w:jc w:val="both"/>
        <w:rPr>
          <w:highlight w:val="yellow"/>
        </w:rPr>
      </w:pPr>
      <w:r>
        <w:rPr>
          <w:rFonts w:cs="Times New Roman" w:ascii="Times New Roman" w:hAnsi="Times New Roman"/>
          <w:b/>
          <w:bCs/>
          <w:color w:val="000000"/>
          <w:sz w:val="22"/>
          <w:szCs w:val="22"/>
          <w:highlight w:val="yellow"/>
          <w:lang w:eastAsia="en-US"/>
        </w:rPr>
        <w:t>9.16</w:t>
      </w:r>
      <w:r>
        <w:rPr>
          <w:rFonts w:cs="Times New Roman" w:ascii="Times New Roman" w:hAnsi="Times New Roman"/>
          <w:bCs/>
          <w:color w:val="000000"/>
          <w:sz w:val="22"/>
          <w:szCs w:val="22"/>
          <w:highlight w:val="yellow"/>
          <w:lang w:eastAsia="en-US"/>
        </w:rPr>
        <w:t xml:space="preserve"> Se o interessado desejar utilizar o sistema para fins de habilitação, nos termos do previsto</w:t>
        <w:br/>
        <w:t>na IN SEGES/MP nº 03/2018, o atendimento às condições exigidas no cadastramento no</w:t>
        <w:br/>
        <w:t>SICAF deverá dar-se até o terceiro dia útil anterior à data prevista para recebimento das</w:t>
        <w:br/>
        <w:t>propostas;</w:t>
      </w:r>
    </w:p>
    <w:p>
      <w:pPr>
        <w:pStyle w:val="Padro"/>
        <w:numPr>
          <w:ilvl w:val="0"/>
          <w:numId w:val="0"/>
        </w:numPr>
        <w:spacing w:before="120" w:after="120"/>
        <w:ind w:left="708" w:right="0" w:hanging="0"/>
        <w:jc w:val="both"/>
        <w:rPr/>
      </w:pPr>
      <w:r>
        <w:rPr>
          <w:rFonts w:cs="Times New Roman" w:ascii="Times New Roman" w:hAnsi="Times New Roman"/>
          <w:b/>
          <w:bCs/>
          <w:color w:val="000000"/>
          <w:sz w:val="22"/>
          <w:szCs w:val="22"/>
          <w:highlight w:val="yellow"/>
          <w:lang w:eastAsia="en-US"/>
        </w:rPr>
        <w:t>9.17</w:t>
      </w:r>
      <w:r>
        <w:rPr>
          <w:rFonts w:cs="Times New Roman" w:ascii="Times New Roman" w:hAnsi="Times New Roman"/>
          <w:color w:val="000000"/>
          <w:sz w:val="22"/>
          <w:szCs w:val="22"/>
          <w:highlight w:val="yellow"/>
          <w:lang w:eastAsia="en-US"/>
        </w:rPr>
        <w:t xml:space="preserve"> A empresa, no mínimo, terá o prazo de 2 (duas) horas, a partir da solicitação do pregoeiro no sistema eletrônico, para o envio dos documentos de habilitação complementares. </w:t>
      </w:r>
      <w:r>
        <w:rPr>
          <w:rFonts w:cs="Times New Roman" w:ascii="Times New Roman" w:hAnsi="Times New Roman"/>
          <w:color w:val="000000"/>
          <w:sz w:val="22"/>
          <w:szCs w:val="22"/>
          <w:lang w:eastAsia="en-US"/>
        </w:rPr>
        <w:br/>
      </w:r>
    </w:p>
    <w:p>
      <w:pPr>
        <w:pStyle w:val="Nivel01"/>
        <w:numPr>
          <w:ilvl w:val="0"/>
          <w:numId w:val="1"/>
        </w:numPr>
        <w:ind w:left="0" w:right="0" w:hanging="0"/>
        <w:rPr/>
      </w:pPr>
      <w:r>
        <w:rPr>
          <w:rFonts w:ascii="Times New Roman" w:hAnsi="Times New Roman"/>
          <w:sz w:val="22"/>
          <w:szCs w:val="22"/>
          <w:lang w:eastAsia="en-US"/>
        </w:rPr>
        <w:t>DA REABERTURA DA SESSÃO PÚBLICA</w:t>
      </w:r>
    </w:p>
    <w:p>
      <w:pPr>
        <w:pStyle w:val="Nivel01"/>
        <w:keepLines w:val="false"/>
        <w:numPr>
          <w:ilvl w:val="1"/>
          <w:numId w:val="1"/>
        </w:numPr>
        <w:spacing w:before="120" w:after="120"/>
        <w:ind w:left="425" w:right="0" w:hanging="0"/>
        <w:rPr/>
      </w:pPr>
      <w:r>
        <w:rPr>
          <w:rFonts w:ascii="Times New Roman" w:hAnsi="Times New Roman"/>
          <w:b w:val="false"/>
          <w:bCs w:val="false"/>
          <w:color w:val="00000A"/>
          <w:sz w:val="22"/>
          <w:szCs w:val="22"/>
        </w:rPr>
        <w:t>A sessão pública poderá ser reaberta:</w:t>
      </w:r>
    </w:p>
    <w:p>
      <w:pPr>
        <w:pStyle w:val="Nivel01"/>
        <w:keepLines w:val="false"/>
        <w:numPr>
          <w:ilvl w:val="2"/>
          <w:numId w:val="1"/>
        </w:numPr>
        <w:spacing w:before="120" w:after="120"/>
        <w:ind w:left="1134" w:right="0" w:hanging="0"/>
        <w:rPr/>
      </w:pPr>
      <w:r>
        <w:rPr>
          <w:rFonts w:ascii="Times New Roman" w:hAnsi="Times New Roman"/>
          <w:b w:val="false"/>
          <w:bCs w:val="false"/>
          <w:color w:val="00000A"/>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Lines w:val="false"/>
        <w:numPr>
          <w:ilvl w:val="2"/>
          <w:numId w:val="1"/>
        </w:numPr>
        <w:spacing w:before="120" w:after="120"/>
        <w:ind w:left="1134" w:right="0" w:hanging="0"/>
        <w:rPr/>
      </w:pPr>
      <w:r>
        <w:rPr>
          <w:rFonts w:ascii="Times New Roman" w:hAnsi="Times New Roman"/>
          <w:b w:val="false"/>
          <w:bCs w:val="false"/>
          <w:color w:val="00000A"/>
          <w:sz w:val="22"/>
          <w:szCs w:val="22"/>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pPr>
        <w:pStyle w:val="Nivel01"/>
        <w:keepLines w:val="false"/>
        <w:numPr>
          <w:ilvl w:val="1"/>
          <w:numId w:val="1"/>
        </w:numPr>
        <w:spacing w:before="120" w:after="120"/>
        <w:ind w:left="425" w:right="0" w:hanging="0"/>
        <w:rPr/>
      </w:pPr>
      <w:r>
        <w:rPr>
          <w:rFonts w:ascii="Times New Roman" w:hAnsi="Times New Roman"/>
          <w:b w:val="false"/>
          <w:bCs w:val="false"/>
          <w:color w:val="00000A"/>
          <w:sz w:val="22"/>
          <w:szCs w:val="22"/>
        </w:rPr>
        <w:t>Todos os licitantes remanescentes deverão ser convocados para acompanhar a sessão reaberta.</w:t>
      </w:r>
    </w:p>
    <w:p>
      <w:pPr>
        <w:pStyle w:val="Nivel01"/>
        <w:keepLines w:val="false"/>
        <w:numPr>
          <w:ilvl w:val="2"/>
          <w:numId w:val="1"/>
        </w:numPr>
        <w:spacing w:before="120" w:after="120"/>
        <w:ind w:left="1134" w:right="0" w:hanging="0"/>
        <w:rPr/>
      </w:pPr>
      <w:r>
        <w:rPr>
          <w:rFonts w:ascii="Times New Roman" w:hAnsi="Times New Roman"/>
          <w:b w:val="false"/>
          <w:bCs w:val="false"/>
          <w:color w:val="00000A"/>
          <w:sz w:val="22"/>
          <w:szCs w:val="22"/>
        </w:rPr>
        <w:t>A convocação se dará por meio do sistema eletrônico (“chat”), e-mail, ou, ainda, fac-símile, de acordo com a fase do procedimento licitatório.</w:t>
      </w:r>
    </w:p>
    <w:p>
      <w:pPr>
        <w:pStyle w:val="ListParagraph"/>
        <w:spacing w:before="120" w:after="12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ListParagraph"/>
        <w:numPr>
          <w:ilvl w:val="0"/>
          <w:numId w:val="1"/>
        </w:numPr>
        <w:spacing w:before="120" w:after="120"/>
        <w:ind w:left="0" w:right="0" w:hanging="0"/>
        <w:jc w:val="both"/>
        <w:rPr>
          <w:rFonts w:ascii="Times New Roman" w:hAnsi="Times New Roman" w:cs="Times New Roman"/>
          <w:b/>
          <w:b/>
          <w:color w:val="000000"/>
          <w:sz w:val="22"/>
          <w:szCs w:val="22"/>
          <w:lang w:eastAsia="en-US"/>
        </w:rPr>
      </w:pPr>
      <w:r>
        <w:rPr>
          <w:rFonts w:cs="Times New Roman" w:ascii="Times New Roman" w:hAnsi="Times New Roman"/>
          <w:b/>
          <w:color w:val="000000"/>
          <w:sz w:val="22"/>
          <w:szCs w:val="22"/>
          <w:lang w:eastAsia="en-US"/>
        </w:rPr>
        <w:t>DO ENCAMINHAMENTO DA PROPOSTA VENCEDORA</w:t>
      </w:r>
    </w:p>
    <w:p>
      <w:pPr>
        <w:pStyle w:val="Padro"/>
        <w:numPr>
          <w:ilvl w:val="1"/>
          <w:numId w:val="1"/>
        </w:numPr>
        <w:spacing w:before="120" w:after="120"/>
        <w:ind w:left="425" w:right="0" w:hanging="0"/>
        <w:jc w:val="both"/>
        <w:rPr/>
      </w:pPr>
      <w:r>
        <w:rPr>
          <w:rFonts w:cs="Times New Roman" w:ascii="Times New Roman" w:hAnsi="Times New Roman"/>
          <w:color w:val="000000"/>
          <w:sz w:val="22"/>
          <w:szCs w:val="22"/>
        </w:rPr>
        <w:t xml:space="preserve">A proposta final do licitante declarado vencedor deverá ser encaminhada no prazo de </w:t>
      </w:r>
      <w:r>
        <w:rPr>
          <w:rFonts w:cs="Times New Roman" w:ascii="Times New Roman" w:hAnsi="Times New Roman"/>
          <w:b/>
          <w:bCs/>
          <w:color w:val="000000"/>
          <w:sz w:val="22"/>
          <w:szCs w:val="22"/>
        </w:rPr>
        <w:t>02 (duas) horas</w:t>
      </w:r>
      <w:r>
        <w:rPr>
          <w:rFonts w:cs="Times New Roman" w:ascii="Times New Roman" w:hAnsi="Times New Roman"/>
          <w:color w:val="000000"/>
          <w:sz w:val="22"/>
          <w:szCs w:val="22"/>
        </w:rPr>
        <w:t>, a contar da solicitação do Pregoeiro no sistema eletrônico e deverá:</w:t>
      </w:r>
    </w:p>
    <w:p>
      <w:pPr>
        <w:pStyle w:val="Padro"/>
        <w:numPr>
          <w:ilvl w:val="2"/>
          <w:numId w:val="1"/>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ser redigida em língua portuguesa, datilografada ou digitada, em uma via, sem emendas, rasuras, entrelinhas ou ressalvas, devendo a última folha ser assinada e as demais rubricadas pelo licitante ou seu representante legal.</w:t>
      </w:r>
    </w:p>
    <w:p>
      <w:pPr>
        <w:pStyle w:val="Padro"/>
        <w:numPr>
          <w:ilvl w:val="2"/>
          <w:numId w:val="1"/>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conter a indicação do banco, número da conta e agência do licitante vencedor, para fins de pagamento.</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proposta final deverá ser documentada nos autos e será levada em consideração no decorrer da execução do contrato e aplicação de eventual sanção à Contratada, se for o caso.</w:t>
      </w:r>
    </w:p>
    <w:p>
      <w:pPr>
        <w:pStyle w:val="Padro"/>
        <w:numPr>
          <w:ilvl w:val="2"/>
          <w:numId w:val="1"/>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Todas as especificações do objeto contidas na proposta, tais como marca, modelo, tipo, fabricante e procedência, vinculam a Contratada.</w:t>
      </w:r>
    </w:p>
    <w:p>
      <w:pPr>
        <w:pStyle w:val="Padro"/>
        <w:numPr>
          <w:ilvl w:val="0"/>
          <w:numId w:val="1"/>
        </w:numPr>
        <w:spacing w:before="120" w:after="120"/>
        <w:ind w:left="0" w:right="0" w:hanging="0"/>
        <w:jc w:val="both"/>
        <w:rPr>
          <w:rFonts w:ascii="Times New Roman" w:hAnsi="Times New Roman" w:cs="Times New Roman"/>
          <w:b/>
          <w:b/>
          <w:color w:val="000000"/>
          <w:sz w:val="22"/>
          <w:szCs w:val="22"/>
          <w:lang w:eastAsia="en-US"/>
        </w:rPr>
      </w:pPr>
      <w:r>
        <w:rPr>
          <w:rFonts w:cs="Times New Roman" w:ascii="Times New Roman" w:hAnsi="Times New Roman"/>
          <w:b/>
          <w:color w:val="000000"/>
          <w:sz w:val="22"/>
          <w:szCs w:val="22"/>
          <w:lang w:eastAsia="en-US"/>
        </w:rPr>
        <w:t>DOS RECURSOS</w:t>
      </w:r>
    </w:p>
    <w:p>
      <w:pPr>
        <w:pStyle w:val="Padro"/>
        <w:numPr>
          <w:ilvl w:val="1"/>
          <w:numId w:val="1"/>
        </w:numPr>
        <w:spacing w:before="120" w:after="120"/>
        <w:ind w:left="425" w:right="0" w:hanging="0"/>
        <w:jc w:val="both"/>
        <w:rPr/>
      </w:pPr>
      <w:r>
        <w:rPr>
          <w:rFonts w:cs="Times New Roman" w:ascii="Times New Roman" w:hAnsi="Times New Roman"/>
          <w:color w:val="000000"/>
          <w:sz w:val="22"/>
          <w:szCs w:val="22"/>
          <w:lang w:eastAsia="en-US"/>
        </w:rPr>
        <w:t>Declarado o vencedor e decorr</w:t>
      </w:r>
      <w:r>
        <w:rPr>
          <w:rFonts w:cs="Times New Roman" w:ascii="Times New Roman" w:hAnsi="Times New Roman"/>
          <w:color w:val="000000"/>
          <w:sz w:val="22"/>
          <w:szCs w:val="22"/>
        </w:rPr>
        <w:t xml:space="preserve">ida a </w:t>
      </w:r>
      <w:r>
        <w:rPr>
          <w:rFonts w:cs="Times New Roman" w:ascii="Times New Roman" w:hAnsi="Times New Roman"/>
          <w:color w:val="000000"/>
          <w:sz w:val="22"/>
          <w:szCs w:val="22"/>
          <w:lang w:eastAsia="en-US"/>
        </w:rPr>
        <w:t xml:space="preserve">fase de regularização fiscal da licitante qualificada como microempresa ou empresa de pequeno porte, se for o caso, será concedido o </w:t>
      </w:r>
      <w:r>
        <w:rPr>
          <w:rFonts w:cs="Times New Roman" w:ascii="Times New Roman" w:hAnsi="Times New Roman"/>
          <w:color w:val="000000"/>
          <w:sz w:val="22"/>
          <w:szCs w:val="22"/>
        </w:rPr>
        <w:t>prazo de no mínimo trinta minutos, para que qualquer licitante manifeste a intenção de recorrer, de forma motivada, isto é, indicando contra qual(is) decisão(ões) pretende recorrer e por quais motivos, em campo próprio do sistema.</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Havendo quem se manifeste, caberá ao Pregoeiro verificar a tempestividade e a existência de motivação da intenção de recorrer, para decidir se admite ou não o recurso, fundamentadamente.</w:t>
      </w:r>
    </w:p>
    <w:p>
      <w:pPr>
        <w:pStyle w:val="Padro"/>
        <w:numPr>
          <w:ilvl w:val="2"/>
          <w:numId w:val="1"/>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Nesse momento o Pregoeiro não adentrará no mérito recursal, mas apenas verificará as condições de admissibilidade do recurso.</w:t>
      </w:r>
    </w:p>
    <w:p>
      <w:pPr>
        <w:pStyle w:val="Padro"/>
        <w:numPr>
          <w:ilvl w:val="2"/>
          <w:numId w:val="1"/>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falta de manifestação motivada do licitante quanto à intenção de recorrer importará a decadência desse direito.</w:t>
      </w:r>
    </w:p>
    <w:p>
      <w:pPr>
        <w:pStyle w:val="Padro"/>
        <w:numPr>
          <w:ilvl w:val="2"/>
          <w:numId w:val="1"/>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O acolhimento do recurso invalida tão somente os atos insuscetíveis de aproveitamento. </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Os autos do processo permanecerão com vista franqueada aos interessados, no endereço constante neste Edital.</w:t>
      </w:r>
    </w:p>
    <w:p>
      <w:pPr>
        <w:pStyle w:val="Padro"/>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1"/>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DA ADJUDICAÇÃO E HOMOLOGAÇÃO</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objeto da licitação será adjudicado ao licitante declarado vencedor, por ato do Pregoeiro, caso não haja interposição de recurso, ou pela autoridade competente, após a regular decisão dos recursos apresentados.</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Após a fase recursal, constatada a regularidade dos atos praticados, a autoridade competente homologará o procedimento licitatório. </w:t>
      </w:r>
    </w:p>
    <w:p>
      <w:pPr>
        <w:pStyle w:val="Padro"/>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1"/>
        </w:numPr>
        <w:spacing w:before="0" w:after="120"/>
        <w:ind w:left="0" w:right="-17"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DA ATA DE REGISTRO DE PREÇOS</w:t>
      </w:r>
    </w:p>
    <w:p>
      <w:pPr>
        <w:pStyle w:val="Padro"/>
        <w:numPr>
          <w:ilvl w:val="1"/>
          <w:numId w:val="1"/>
        </w:numPr>
        <w:spacing w:before="120" w:after="120"/>
        <w:jc w:val="both"/>
        <w:rPr/>
      </w:pPr>
      <w:r>
        <w:rPr>
          <w:rFonts w:cs="Times New Roman" w:ascii="Times New Roman" w:hAnsi="Times New Roman"/>
          <w:color w:val="000000"/>
          <w:sz w:val="22"/>
          <w:szCs w:val="22"/>
        </w:rPr>
        <w:t xml:space="preserve">Homologado o resultado da licitação, terá o adjudicatário o prazo de </w:t>
      </w:r>
      <w:r>
        <w:rPr>
          <w:rFonts w:cs="Times New Roman" w:ascii="Times New Roman" w:hAnsi="Times New Roman"/>
          <w:b/>
          <w:bCs/>
          <w:iCs/>
          <w:color w:val="000000"/>
          <w:sz w:val="22"/>
          <w:szCs w:val="22"/>
        </w:rPr>
        <w:t>08 (oito)</w:t>
      </w:r>
      <w:r>
        <w:rPr>
          <w:rFonts w:cs="Times New Roman" w:ascii="Times New Roman" w:hAnsi="Times New Roman"/>
          <w:b/>
          <w:bCs/>
          <w:iCs/>
          <w:color w:val="FF0000"/>
          <w:sz w:val="22"/>
          <w:szCs w:val="22"/>
        </w:rPr>
        <w:t xml:space="preserve"> </w:t>
      </w:r>
      <w:r>
        <w:rPr>
          <w:rFonts w:cs="Times New Roman" w:ascii="Times New Roman" w:hAnsi="Times New Roman"/>
          <w:b/>
          <w:bCs/>
          <w:iCs/>
          <w:color w:val="000000"/>
          <w:sz w:val="22"/>
          <w:szCs w:val="22"/>
        </w:rPr>
        <w:t>dias</w:t>
      </w:r>
      <w:r>
        <w:rPr>
          <w:rFonts w:cs="Times New Roman" w:ascii="Times New Roman" w:hAnsi="Times New Roman"/>
          <w:color w:val="000000"/>
          <w:sz w:val="22"/>
          <w:szCs w:val="22"/>
        </w:rPr>
        <w:t xml:space="preserve">, contados a partir da data de sua convocação, para assinar a Ata de Registro de Preços, cujo prazo de validade encontra-se nela fixado, sob pena de decair do direito à contratação, sem prejuízo das sanções previstas neste Edital. </w:t>
      </w:r>
    </w:p>
    <w:p>
      <w:pPr>
        <w:pStyle w:val="Padro"/>
        <w:numPr>
          <w:ilvl w:val="1"/>
          <w:numId w:val="1"/>
        </w:numPr>
        <w:spacing w:before="120" w:after="120"/>
        <w:jc w:val="both"/>
        <w:rPr/>
      </w:pPr>
      <w:r>
        <w:rPr>
          <w:rFonts w:cs="Times New Roman" w:ascii="Times New Roman" w:hAnsi="Times New Roman"/>
          <w:color w:val="000000"/>
          <w:sz w:val="22"/>
          <w:szCs w:val="22"/>
        </w:rPr>
        <w:t>Alternativamente à convocação para comparecer perante o órgão ou entidade</w:t>
      </w:r>
      <w:r>
        <w:rPr>
          <w:rFonts w:cs="Times New Roman" w:ascii="Times New Roman" w:hAnsi="Times New Roman"/>
          <w:i/>
          <w:color w:val="000000"/>
          <w:sz w:val="22"/>
          <w:szCs w:val="22"/>
        </w:rPr>
        <w:t xml:space="preserve"> </w:t>
      </w:r>
      <w:r>
        <w:rPr>
          <w:rFonts w:cs="Times New Roman" w:ascii="Times New Roman" w:hAnsi="Times New Roman"/>
          <w:color w:val="000000"/>
          <w:sz w:val="22"/>
          <w:szCs w:val="22"/>
        </w:rPr>
        <w:t xml:space="preserve">para a assinatura da Ata de Registro de Preços, a Administração poderá encaminhá-la para assinatura, </w:t>
      </w:r>
      <w:r>
        <w:rPr>
          <w:rFonts w:cs="Times New Roman" w:ascii="Times New Roman" w:hAnsi="Times New Roman"/>
          <w:bCs/>
          <w:iCs/>
          <w:color w:val="000000"/>
          <w:sz w:val="22"/>
          <w:szCs w:val="22"/>
        </w:rPr>
        <w:t xml:space="preserve">mediante correspondência postal com aviso de recebimento (AR) ou meio eletrônico, para que seja(m) assinada(s) no prazo de </w:t>
      </w:r>
      <w:r>
        <w:rPr>
          <w:rFonts w:cs="Times New Roman" w:ascii="Times New Roman" w:hAnsi="Times New Roman"/>
          <w:b/>
          <w:bCs/>
          <w:iCs/>
          <w:color w:val="000000"/>
          <w:sz w:val="22"/>
          <w:szCs w:val="22"/>
        </w:rPr>
        <w:t>08 (oito)</w:t>
      </w:r>
      <w:r>
        <w:rPr>
          <w:rFonts w:cs="Times New Roman" w:ascii="Times New Roman" w:hAnsi="Times New Roman"/>
          <w:b/>
          <w:bCs/>
          <w:iCs/>
          <w:color w:val="FF0000"/>
          <w:sz w:val="22"/>
          <w:szCs w:val="22"/>
        </w:rPr>
        <w:t xml:space="preserve"> </w:t>
      </w:r>
      <w:r>
        <w:rPr>
          <w:rFonts w:cs="Times New Roman" w:ascii="Times New Roman" w:hAnsi="Times New Roman"/>
          <w:b/>
          <w:bCs/>
          <w:iCs/>
          <w:color w:val="000000"/>
          <w:sz w:val="22"/>
          <w:szCs w:val="22"/>
        </w:rPr>
        <w:t>dias</w:t>
      </w:r>
      <w:r>
        <w:rPr>
          <w:rFonts w:cs="Times New Roman" w:ascii="Times New Roman" w:hAnsi="Times New Roman"/>
          <w:bCs/>
          <w:iCs/>
          <w:color w:val="000000"/>
          <w:sz w:val="22"/>
          <w:szCs w:val="22"/>
        </w:rPr>
        <w:t>, a contar da data de seu recebimento.</w:t>
      </w:r>
      <w:r>
        <w:rPr>
          <w:rFonts w:cs="Times New Roman" w:ascii="Times New Roman" w:hAnsi="Times New Roman"/>
          <w:sz w:val="22"/>
          <w:szCs w:val="22"/>
        </w:rPr>
        <w:t xml:space="preserve"> </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Padro"/>
        <w:numPr>
          <w:ilvl w:val="2"/>
          <w:numId w:val="1"/>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Padro"/>
        <w:spacing w:before="0" w:after="120"/>
        <w:ind w:left="0" w:right="-15"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1"/>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DO TERMO DE CONTRATO OU INSTRUMENTO EQUIVALENTE</w:t>
      </w:r>
    </w:p>
    <w:p>
      <w:pPr>
        <w:pStyle w:val="Padro"/>
        <w:numPr>
          <w:ilvl w:val="1"/>
          <w:numId w:val="1"/>
        </w:numPr>
        <w:spacing w:before="120" w:after="12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 xml:space="preserve"> </w:t>
      </w:r>
      <w:r>
        <w:rPr>
          <w:rFonts w:cs="Times New Roman" w:ascii="Times New Roman" w:hAnsi="Times New Roman"/>
          <w:bCs/>
          <w:iCs/>
          <w:color w:val="000000"/>
          <w:sz w:val="22"/>
          <w:szCs w:val="22"/>
        </w:rPr>
        <w:t>Dentro da validade da Ata de Registro de Preços, o fornecedor registrado poderá ser convocado para assinar o Termo de Contrato ou aceitar/retirar o instrumento equivalente (Nota de Empenho/Carta Contrato/Autorização). O prazo de duração do contrato ficará adstrito à vigência dos respectivos créditos orçamentários, prorrogável na forma do art. 57, § 1°, da Lei n° 8.666/93.</w:t>
      </w:r>
    </w:p>
    <w:p>
      <w:pPr>
        <w:pStyle w:val="ListParagraph"/>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Previamente à contratação, a Administração promotora da licitação realizará consulta ao SICAF para identificar eventual proibição da licitante adjudicatária de contratar com o Poder Público.</w:t>
      </w:r>
    </w:p>
    <w:p>
      <w:pPr>
        <w:pStyle w:val="Padro"/>
        <w:numPr>
          <w:ilvl w:val="2"/>
          <w:numId w:val="1"/>
        </w:numPr>
        <w:spacing w:before="120" w:after="120"/>
        <w:jc w:val="both"/>
        <w:rPr/>
      </w:pPr>
      <w:r>
        <w:rPr>
          <w:rFonts w:cs="Times New Roman" w:ascii="Times New Roman" w:hAnsi="Times New Roman"/>
          <w:color w:val="000000"/>
          <w:sz w:val="22"/>
          <w:szCs w:val="22"/>
        </w:rPr>
        <w:t xml:space="preserve">A adjudicatária terá o prazo de </w:t>
      </w:r>
      <w:r>
        <w:rPr>
          <w:rFonts w:cs="Times New Roman" w:ascii="Times New Roman" w:hAnsi="Times New Roman"/>
          <w:b/>
          <w:bCs/>
          <w:color w:val="000000"/>
          <w:sz w:val="22"/>
          <w:szCs w:val="22"/>
        </w:rPr>
        <w:t>08 (oito)</w:t>
      </w:r>
      <w:r>
        <w:rPr>
          <w:rFonts w:cs="Times New Roman" w:ascii="Times New Roman" w:hAnsi="Times New Roman"/>
          <w:color w:val="000000"/>
          <w:sz w:val="22"/>
          <w:szCs w:val="22"/>
        </w:rPr>
        <w:t xml:space="preserve"> </w:t>
      </w:r>
      <w:r>
        <w:rPr>
          <w:rFonts w:cs="Times New Roman" w:ascii="Times New Roman" w:hAnsi="Times New Roman"/>
          <w:b/>
          <w:color w:val="000000"/>
          <w:sz w:val="22"/>
          <w:szCs w:val="22"/>
        </w:rPr>
        <w:t>dias úteis</w:t>
      </w:r>
      <w:r>
        <w:rPr>
          <w:rFonts w:cs="Times New Roman" w:ascii="Times New Roman" w:hAnsi="Times New Roman"/>
          <w:color w:val="000000"/>
          <w:sz w:val="22"/>
          <w:szCs w:val="22"/>
        </w:rPr>
        <w:t>, contados a partir da data de sua convocação, para assinar o Termo de Contrato ou aceitar o instrumento equivalente, conforme o caso, sob pena de decair do direito à contratação, sem prejuízo das sanções previstas neste Edital.</w:t>
      </w:r>
    </w:p>
    <w:p>
      <w:pPr>
        <w:pStyle w:val="Padro"/>
        <w:numPr>
          <w:ilvl w:val="2"/>
          <w:numId w:val="1"/>
        </w:numPr>
        <w:spacing w:before="120" w:after="120"/>
        <w:jc w:val="both"/>
        <w:rPr/>
      </w:pPr>
      <w:r>
        <w:rPr>
          <w:rFonts w:cs="Times New Roman" w:ascii="Times New Roman" w:hAnsi="Times New Roman"/>
          <w:color w:val="000000"/>
          <w:sz w:val="22"/>
          <w:szCs w:val="22"/>
        </w:rPr>
        <w:t>Alternativamente à convocação para comparecer perante o órgão ou entidade</w:t>
      </w:r>
      <w:r>
        <w:rPr>
          <w:rFonts w:cs="Times New Roman" w:ascii="Times New Roman" w:hAnsi="Times New Roman"/>
          <w:i/>
          <w:color w:val="000000"/>
          <w:sz w:val="22"/>
          <w:szCs w:val="22"/>
        </w:rPr>
        <w:t xml:space="preserve"> </w:t>
      </w:r>
      <w:r>
        <w:rPr>
          <w:rFonts w:cs="Times New Roman" w:ascii="Times New Roman" w:hAnsi="Times New Roman"/>
          <w:color w:val="000000"/>
          <w:sz w:val="22"/>
          <w:szCs w:val="22"/>
        </w:rPr>
        <w:t>para a assinatura do Termo de Contrato ou aceite/retirada do instrumento equivalente, a Administração poderá encaminhá-lo para assinatura ou aceite da Adjudicatária,</w:t>
      </w:r>
      <w:r>
        <w:rPr>
          <w:rFonts w:cs="Times New Roman" w:ascii="Times New Roman" w:hAnsi="Times New Roman"/>
          <w:bCs/>
          <w:iCs/>
          <w:color w:val="000000"/>
          <w:sz w:val="22"/>
          <w:szCs w:val="22"/>
        </w:rPr>
        <w:t xml:space="preserve"> mediante correspondência postal com aviso de recebimento (AR) ou meio eletrônico, para que seja assinado/retirado no prazo de</w:t>
      </w:r>
      <w:r>
        <w:rPr>
          <w:rFonts w:cs="Times New Roman" w:ascii="Times New Roman" w:hAnsi="Times New Roman"/>
          <w:bCs/>
          <w:iCs/>
          <w:color w:val="FF0000"/>
          <w:sz w:val="22"/>
          <w:szCs w:val="22"/>
        </w:rPr>
        <w:t xml:space="preserve"> </w:t>
      </w:r>
      <w:r>
        <w:rPr>
          <w:rFonts w:cs="Times New Roman" w:ascii="Times New Roman" w:hAnsi="Times New Roman"/>
          <w:b/>
          <w:bCs/>
          <w:iCs/>
          <w:color w:val="000000"/>
          <w:sz w:val="22"/>
          <w:szCs w:val="22"/>
        </w:rPr>
        <w:t>08 (oito)</w:t>
      </w:r>
      <w:r>
        <w:rPr>
          <w:rFonts w:cs="Times New Roman" w:ascii="Times New Roman" w:hAnsi="Times New Roman"/>
          <w:bCs/>
          <w:iCs/>
          <w:color w:val="000000"/>
          <w:sz w:val="22"/>
          <w:szCs w:val="22"/>
        </w:rPr>
        <w:t xml:space="preserve"> dias, a contar da data de seu recebimento</w:t>
      </w:r>
      <w:r>
        <w:rPr>
          <w:rFonts w:cs="Times New Roman" w:ascii="Times New Roman" w:hAnsi="Times New Roman"/>
          <w:bCs/>
          <w:i/>
          <w:iCs/>
          <w:color w:val="000000"/>
          <w:sz w:val="22"/>
          <w:szCs w:val="22"/>
        </w:rPr>
        <w:t xml:space="preserve">. </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prazo previsto no subitem anterior poderá ser prorrogado, por igual período, por solicitação justificada do fornecedor registrado e aceita pela Administração.</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Antes da assinatura do Termo de Contrato ou aceite do instrumento equivalente, a Administração realizará consulta “on-line” ao SICAF, bem como ao Cadastro Informativo de Créditos não Quitados – CADIN, cujos resultados serão anexados aos autos do processo.</w:t>
      </w:r>
    </w:p>
    <w:p>
      <w:pPr>
        <w:pStyle w:val="Padro"/>
        <w:numPr>
          <w:ilvl w:val="2"/>
          <w:numId w:val="1"/>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Na hipótese de irregularidade do registro no SICAF, o contratado deverá regularizar a sua situação perante o cadastro no prazo de até 05 (cinco) dias, sob pena de aplicação das penalidades previstas no edital e anexos.</w:t>
      </w:r>
    </w:p>
    <w:p>
      <w:pPr>
        <w:pStyle w:val="Padro"/>
        <w:numPr>
          <w:ilvl w:val="0"/>
          <w:numId w:val="1"/>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DO PREÇO</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Os preços são fixos e irreajustáveis.</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As contratações decorrentes da Ata de Registro de Preços poderão sofrer alterações, obedecidas às disposições contidas no art. 65 da Lei n° 8.666/93 e no Decreto nº 7.892, de 2013.</w:t>
      </w:r>
    </w:p>
    <w:p>
      <w:pPr>
        <w:pStyle w:val="Padro"/>
        <w:spacing w:before="0" w:after="120"/>
        <w:ind w:left="567" w:right="-17"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1"/>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DA ENTREGA E DO RECEBIMENTO DO OBJETO E DA FISCALIZAÇÃO</w:t>
      </w:r>
    </w:p>
    <w:p>
      <w:pPr>
        <w:pStyle w:val="Padro"/>
        <w:numPr>
          <w:ilvl w:val="1"/>
          <w:numId w:val="1"/>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 xml:space="preserve"> </w:t>
      </w:r>
      <w:r>
        <w:rPr>
          <w:rFonts w:cs="Times New Roman" w:ascii="Times New Roman" w:hAnsi="Times New Roman"/>
          <w:color w:val="000000"/>
          <w:sz w:val="22"/>
          <w:szCs w:val="22"/>
          <w:lang w:eastAsia="en-US"/>
        </w:rPr>
        <w:t>Os critérios de recebimento e aceitação do objeto e de fiscalização estão previstos no Termo de Referência.</w:t>
      </w:r>
    </w:p>
    <w:p>
      <w:pPr>
        <w:pStyle w:val="Padro"/>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1"/>
        </w:numPr>
        <w:spacing w:before="120" w:after="120"/>
        <w:ind w:left="0" w:right="0" w:hanging="0"/>
        <w:jc w:val="both"/>
        <w:rPr>
          <w:rFonts w:ascii="Times New Roman" w:hAnsi="Times New Roman" w:cs="Times New Roman"/>
          <w:b/>
          <w:b/>
          <w:color w:val="000000"/>
          <w:sz w:val="22"/>
          <w:szCs w:val="22"/>
          <w:lang w:eastAsia="en-US"/>
        </w:rPr>
      </w:pPr>
      <w:r>
        <w:rPr>
          <w:rFonts w:cs="Times New Roman" w:ascii="Times New Roman" w:hAnsi="Times New Roman"/>
          <w:b/>
          <w:color w:val="000000"/>
          <w:sz w:val="22"/>
          <w:szCs w:val="22"/>
          <w:lang w:eastAsia="en-US"/>
        </w:rPr>
        <w:t>DAS OBRIGAÇÕES DA CONTRATANTE E DA CONTRATADA</w:t>
      </w:r>
    </w:p>
    <w:p>
      <w:pPr>
        <w:pStyle w:val="Padro"/>
        <w:numPr>
          <w:ilvl w:val="1"/>
          <w:numId w:val="1"/>
        </w:numPr>
        <w:spacing w:before="120" w:after="120"/>
        <w:ind w:left="425" w:right="0" w:hanging="0"/>
        <w:jc w:val="both"/>
        <w:rPr/>
      </w:pPr>
      <w:r>
        <w:rPr>
          <w:rFonts w:cs="Times New Roman" w:ascii="Times New Roman" w:hAnsi="Times New Roman"/>
          <w:color w:val="000000"/>
          <w:sz w:val="22"/>
          <w:szCs w:val="22"/>
          <w:lang w:eastAsia="en-US"/>
        </w:rPr>
        <w:t xml:space="preserve"> </w:t>
      </w:r>
      <w:r>
        <w:rPr>
          <w:rFonts w:cs="Times New Roman" w:ascii="Times New Roman" w:hAnsi="Times New Roman"/>
          <w:color w:val="000000"/>
          <w:sz w:val="22"/>
          <w:szCs w:val="22"/>
          <w:lang w:eastAsia="en-US"/>
        </w:rPr>
        <w:t>As obrigações da Contratante e da Contratada são as estabelecidas no Termo de Referência.</w:t>
      </w:r>
      <w:r>
        <w:rPr>
          <w:rFonts w:cs="Times New Roman" w:ascii="Times New Roman" w:hAnsi="Times New Roman"/>
          <w:b/>
          <w:color w:val="000000"/>
          <w:sz w:val="22"/>
          <w:szCs w:val="22"/>
        </w:rPr>
        <w:t xml:space="preserve"> </w:t>
      </w:r>
    </w:p>
    <w:p>
      <w:pPr>
        <w:pStyle w:val="Padro"/>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1"/>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DO PAGAMENTO</w:t>
      </w:r>
    </w:p>
    <w:p>
      <w:pPr>
        <w:pStyle w:val="Padro"/>
        <w:numPr>
          <w:ilvl w:val="1"/>
          <w:numId w:val="1"/>
        </w:numPr>
        <w:spacing w:before="120" w:after="120"/>
        <w:jc w:val="both"/>
        <w:rPr/>
      </w:pPr>
      <w:r>
        <w:rPr>
          <w:rFonts w:cs="Times New Roman" w:ascii="Times New Roman" w:hAnsi="Times New Roman"/>
          <w:color w:val="000000"/>
          <w:sz w:val="22"/>
          <w:szCs w:val="22"/>
          <w:lang w:eastAsia="en-US"/>
        </w:rPr>
        <w:t xml:space="preserve"> </w:t>
      </w:r>
      <w:r>
        <w:rPr>
          <w:rFonts w:cs="Times New Roman" w:ascii="Times New Roman" w:hAnsi="Times New Roman"/>
          <w:color w:val="000000"/>
          <w:sz w:val="22"/>
          <w:szCs w:val="22"/>
          <w:lang w:eastAsia="en-US"/>
        </w:rPr>
        <w:t xml:space="preserve">O pagamento será realizado no prazo máximo de até </w:t>
      </w:r>
      <w:r>
        <w:rPr>
          <w:rFonts w:cs="Times New Roman" w:ascii="Times New Roman" w:hAnsi="Times New Roman"/>
          <w:b/>
          <w:bCs/>
          <w:color w:val="000000"/>
          <w:sz w:val="22"/>
          <w:szCs w:val="22"/>
          <w:lang w:eastAsia="en-US"/>
        </w:rPr>
        <w:t>30 (trinta)</w:t>
      </w:r>
      <w:r>
        <w:rPr>
          <w:rFonts w:cs="Times New Roman" w:ascii="Times New Roman" w:hAnsi="Times New Roman"/>
          <w:color w:val="000000"/>
          <w:sz w:val="22"/>
          <w:szCs w:val="22"/>
          <w:lang w:eastAsia="en-US"/>
        </w:rPr>
        <w:t xml:space="preserve"> </w:t>
      </w:r>
      <w:r>
        <w:rPr>
          <w:rFonts w:cs="Times New Roman" w:ascii="Times New Roman" w:hAnsi="Times New Roman"/>
          <w:b/>
          <w:color w:val="000000"/>
          <w:sz w:val="22"/>
          <w:szCs w:val="22"/>
          <w:lang w:eastAsia="en-US"/>
        </w:rPr>
        <w:t>dias,</w:t>
      </w:r>
      <w:r>
        <w:rPr>
          <w:rFonts w:cs="Times New Roman" w:ascii="Times New Roman" w:hAnsi="Times New Roman"/>
          <w:color w:val="000000"/>
          <w:sz w:val="22"/>
          <w:szCs w:val="22"/>
          <w:lang w:eastAsia="en-US"/>
        </w:rPr>
        <w:t xml:space="preserve"> contados a partir </w:t>
      </w:r>
      <w:r>
        <w:rPr>
          <w:rFonts w:cs="Times New Roman" w:ascii="Times New Roman" w:hAnsi="Times New Roman"/>
          <w:color w:val="000000"/>
          <w:sz w:val="22"/>
          <w:szCs w:val="22"/>
        </w:rPr>
        <w:t xml:space="preserve">da data final do período de adimplemento a que se referir, </w:t>
      </w:r>
      <w:r>
        <w:rPr>
          <w:rFonts w:cs="Times New Roman" w:ascii="Times New Roman" w:hAnsi="Times New Roman"/>
          <w:color w:val="000000"/>
          <w:sz w:val="22"/>
          <w:szCs w:val="22"/>
          <w:lang w:eastAsia="en-US"/>
        </w:rPr>
        <w:t>através de ordem bancária, para crédito em banco, agência e conta corrente indicados pelo contratado.</w:t>
      </w:r>
    </w:p>
    <w:p>
      <w:pPr>
        <w:pStyle w:val="Padro"/>
        <w:numPr>
          <w:ilvl w:val="1"/>
          <w:numId w:val="1"/>
        </w:numPr>
        <w:spacing w:before="120" w:after="120"/>
        <w:ind w:left="425" w:right="0" w:hanging="0"/>
        <w:jc w:val="both"/>
        <w:rPr/>
      </w:pPr>
      <w:r>
        <w:rPr>
          <w:rFonts w:cs="Times New Roman" w:ascii="Times New Roman" w:hAnsi="Times New Roman"/>
          <w:sz w:val="22"/>
          <w:szCs w:val="22"/>
          <w:lang w:eastAsia="en-US"/>
        </w:rPr>
        <w:t xml:space="preserve"> </w:t>
      </w:r>
      <w:r>
        <w:rPr>
          <w:rFonts w:cs="Times New Roman" w:ascii="Times New Roman" w:hAnsi="Times New Roman"/>
          <w:sz w:val="22"/>
          <w:szCs w:val="22"/>
          <w:lang w:eastAsia="en-US"/>
        </w:rPr>
        <w:t xml:space="preserve">Os pagamentos decorrentes de despesas cujos valores não ultrapassem o limite </w:t>
      </w:r>
      <w:r>
        <w:rPr>
          <w:rFonts w:cs="Times New Roman" w:ascii="Times New Roman" w:hAnsi="Times New Roman"/>
          <w:sz w:val="22"/>
          <w:szCs w:val="22"/>
        </w:rPr>
        <w:t>de que trata o inciso II do art. 24</w:t>
      </w:r>
      <w:r>
        <w:rPr>
          <w:rFonts w:cs="Times New Roman" w:ascii="Times New Roman" w:hAnsi="Times New Roman"/>
          <w:sz w:val="22"/>
          <w:szCs w:val="22"/>
          <w:lang w:eastAsia="en-US"/>
        </w:rPr>
        <w:t xml:space="preserve"> da Lei 8.666, de 1993, deverão ser efetuados no prazo de até 5 (cinco) dias úteis, contados da data da apresentação da Nota Fiscal, nos termos do art. 5º, § 3º, da Lei nº 8.666, de 1993</w:t>
      </w:r>
      <w:r>
        <w:rPr>
          <w:rFonts w:cs="Times New Roman" w:ascii="Times New Roman" w:hAnsi="Times New Roman"/>
          <w:color w:val="000000"/>
          <w:sz w:val="22"/>
          <w:szCs w:val="22"/>
          <w:lang w:eastAsia="en-US"/>
        </w:rPr>
        <w:t>.</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pagamento somente será autorizado depois de efetuado o “atesto” pelo servidor competente na nota fiscal apresentada.</w:t>
      </w:r>
    </w:p>
    <w:p>
      <w:pPr>
        <w:pStyle w:val="Padro"/>
        <w:numPr>
          <w:ilvl w:val="1"/>
          <w:numId w:val="1"/>
        </w:numPr>
        <w:spacing w:before="120" w:after="120"/>
        <w:ind w:left="425" w:right="0" w:hanging="0"/>
        <w:jc w:val="both"/>
        <w:rPr/>
      </w:pPr>
      <w:r>
        <w:rPr>
          <w:rFonts w:cs="Times New Roman" w:ascii="Times New Roman" w:hAnsi="Times New Roman"/>
          <w:color w:val="000000"/>
          <w:sz w:val="22"/>
          <w:szCs w:val="22"/>
          <w:lang w:eastAsia="en-US"/>
        </w:rPr>
        <w:t xml:space="preserve">Havendo erro na apresentação da Nota Fiscal ou dos documentos pertinentes à contratação, ou, ainda, circunstância que impeça a liquidação da despesa, como, por exemplo, </w:t>
      </w:r>
      <w:r>
        <w:rPr>
          <w:rFonts w:cs="Times New Roman" w:ascii="Times New Roman" w:hAnsi="Times New Roman"/>
          <w:color w:val="000000"/>
          <w:sz w:val="22"/>
          <w:szCs w:val="22"/>
        </w:rPr>
        <w:t>obrigação financeira pendente, decorrente de penalidade imposta ou inadimplência,</w:t>
      </w:r>
      <w:r>
        <w:rPr>
          <w:rFonts w:cs="Times New Roman" w:ascii="Times New Roman" w:hAnsi="Times New Roman"/>
          <w:color w:val="000000"/>
          <w:sz w:val="22"/>
          <w:szCs w:val="22"/>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ListParagraph"/>
        <w:numPr>
          <w:ilvl w:val="1"/>
          <w:numId w:val="1"/>
        </w:numPr>
        <w:spacing w:before="120" w:after="120"/>
        <w:ind w:left="425" w:right="0" w:hanging="0"/>
        <w:jc w:val="both"/>
        <w:rPr/>
      </w:pPr>
      <w:r>
        <w:rPr>
          <w:rFonts w:cs="Times New Roman" w:ascii="Times New Roman" w:hAnsi="Times New Roman"/>
          <w:color w:val="000000"/>
          <w:sz w:val="22"/>
          <w:szCs w:val="22"/>
        </w:rPr>
        <w:t xml:space="preserve">Será considerada data do pagamento o dia </w:t>
      </w:r>
      <w:r>
        <w:rPr>
          <w:rFonts w:cs="Times New Roman" w:ascii="Times New Roman" w:hAnsi="Times New Roman"/>
          <w:color w:val="000000"/>
          <w:sz w:val="22"/>
          <w:szCs w:val="22"/>
          <w:lang w:eastAsia="en-US"/>
        </w:rPr>
        <w:t>em que constar como emitida a ordem bancária para pagamento.</w:t>
      </w:r>
    </w:p>
    <w:p>
      <w:pPr>
        <w:pStyle w:val="ListParagraph"/>
        <w:numPr>
          <w:ilvl w:val="1"/>
          <w:numId w:val="1"/>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 xml:space="preserve">Antes de cada pagamento à contratada, será realizada consulta ao SICAF para verificar a manutenção das condições de habilitação exigidas no edital. </w:t>
      </w:r>
    </w:p>
    <w:p>
      <w:pPr>
        <w:pStyle w:val="ListParagraph"/>
        <w:numPr>
          <w:ilvl w:val="1"/>
          <w:numId w:val="1"/>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ListParagraph"/>
        <w:numPr>
          <w:ilvl w:val="1"/>
          <w:numId w:val="1"/>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ListParagraph"/>
        <w:numPr>
          <w:ilvl w:val="1"/>
          <w:numId w:val="1"/>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 xml:space="preserve">Persistindo a irregularidade, a contratante deverá adotar as medidas necessárias à rescisão contratual nos autos do processo administrativo correspondente, assegurada à contratada a ampla defesa. </w:t>
      </w:r>
    </w:p>
    <w:p>
      <w:pPr>
        <w:pStyle w:val="ListParagraph"/>
        <w:numPr>
          <w:ilvl w:val="1"/>
          <w:numId w:val="1"/>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 xml:space="preserve">Havendo a efetiva execução do objeto, os pagamentos serão realizados normalmente, até que se decida pela rescisão do contrato, caso a contratada não regularize sua situação junto ao SICAF.  </w:t>
      </w:r>
    </w:p>
    <w:p>
      <w:pPr>
        <w:pStyle w:val="Padro"/>
        <w:numPr>
          <w:ilvl w:val="1"/>
          <w:numId w:val="1"/>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Quando do pagamento, será efetuada a retenção tributária prevista na legislação aplicável.</w:t>
      </w:r>
    </w:p>
    <w:p>
      <w:pPr>
        <w:pStyle w:val="Padro"/>
        <w:numPr>
          <w:ilvl w:val="2"/>
          <w:numId w:val="1"/>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Padro"/>
        <w:numPr>
          <w:ilvl w:val="1"/>
          <w:numId w:val="1"/>
        </w:numPr>
        <w:spacing w:before="120" w:after="120"/>
        <w:ind w:left="425" w:right="0" w:hanging="0"/>
        <w:jc w:val="both"/>
        <w:rPr/>
      </w:pPr>
      <w:r>
        <w:rPr>
          <w:rFonts w:cs="Times New Roman" w:ascii="Times New Roman" w:hAnsi="Times New Roman"/>
          <w:color w:val="000000"/>
          <w:sz w:val="22"/>
          <w:szCs w:val="22"/>
        </w:rPr>
        <w:t xml:space="preserve">Nos casos de eventuais atrasos de pagamento, desde que a </w:t>
      </w:r>
      <w:r>
        <w:rPr>
          <w:rFonts w:cs="Times New Roman" w:ascii="Times New Roman" w:hAnsi="Times New Roman"/>
          <w:color w:val="000000"/>
          <w:sz w:val="22"/>
          <w:szCs w:val="22"/>
          <w:lang w:eastAsia="en-US"/>
        </w:rPr>
        <w:t>Contratada</w:t>
      </w:r>
      <w:r>
        <w:rPr>
          <w:rFonts w:cs="Times New Roman" w:ascii="Times New Roman" w:hAnsi="Times New Roman"/>
          <w:color w:val="000000"/>
          <w:sz w:val="22"/>
          <w:szCs w:val="22"/>
        </w:rPr>
        <w:t xml:space="preserve">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Padro"/>
        <w:tabs>
          <w:tab w:val="left" w:pos="567" w:leader="none"/>
          <w:tab w:val="left" w:pos="992" w:leader="none"/>
          <w:tab w:val="left" w:pos="1417" w:leader="none"/>
          <w:tab w:val="left" w:pos="1842" w:leader="none"/>
          <w:tab w:val="left" w:pos="3401" w:leader="none"/>
        </w:tabs>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EM = I x N x VP, sendo:</w:t>
      </w:r>
    </w:p>
    <w:p>
      <w:pPr>
        <w:pStyle w:val="Padro"/>
        <w:tabs>
          <w:tab w:val="left" w:pos="567" w:leader="none"/>
          <w:tab w:val="left" w:pos="992" w:leader="none"/>
          <w:tab w:val="left" w:pos="1417" w:leader="none"/>
          <w:tab w:val="left" w:pos="1842" w:leader="none"/>
          <w:tab w:val="left" w:pos="3401" w:leader="none"/>
        </w:tabs>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EM = Encargos moratórios;</w:t>
      </w:r>
    </w:p>
    <w:p>
      <w:pPr>
        <w:pStyle w:val="Padro"/>
        <w:tabs>
          <w:tab w:val="left" w:pos="567" w:leader="none"/>
          <w:tab w:val="left" w:pos="992" w:leader="none"/>
          <w:tab w:val="left" w:pos="1417" w:leader="none"/>
          <w:tab w:val="left" w:pos="1842" w:leader="none"/>
          <w:tab w:val="left" w:pos="3401" w:leader="none"/>
        </w:tabs>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 = Número de dias entre a data prevista para o pagamento e a do efetivo pagamento;</w:t>
      </w:r>
    </w:p>
    <w:p>
      <w:pPr>
        <w:pStyle w:val="Padro"/>
        <w:tabs>
          <w:tab w:val="left" w:pos="567" w:leader="none"/>
          <w:tab w:val="left" w:pos="992" w:leader="none"/>
          <w:tab w:val="left" w:pos="1417" w:leader="none"/>
          <w:tab w:val="left" w:pos="1842" w:leader="none"/>
          <w:tab w:val="left" w:pos="3401" w:leader="none"/>
        </w:tabs>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VP = Valor da parcela a ser paga.</w:t>
      </w:r>
    </w:p>
    <w:p>
      <w:pPr>
        <w:pStyle w:val="Padro"/>
        <w:tabs>
          <w:tab w:val="left" w:pos="567" w:leader="none"/>
          <w:tab w:val="left" w:pos="992" w:leader="none"/>
          <w:tab w:val="left" w:pos="1417" w:leader="none"/>
          <w:tab w:val="left" w:pos="1842" w:leader="none"/>
          <w:tab w:val="left" w:pos="3401" w:leader="none"/>
        </w:tabs>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I = Índice de compensação financeira = 0,00016438, assim apurado:</w:t>
      </w:r>
    </w:p>
    <w:tbl>
      <w:tblPr>
        <w:tblW w:w="8643" w:type="dxa"/>
        <w:jc w:val="left"/>
        <w:tblInd w:w="-10" w:type="dxa"/>
        <w:tblBorders/>
        <w:tblCellMar>
          <w:top w:w="0" w:type="dxa"/>
          <w:left w:w="108" w:type="dxa"/>
          <w:bottom w:w="0" w:type="dxa"/>
          <w:right w:w="108" w:type="dxa"/>
        </w:tblCellMar>
      </w:tblPr>
      <w:tblGrid>
        <w:gridCol w:w="2145"/>
        <w:gridCol w:w="440"/>
        <w:gridCol w:w="1247"/>
        <w:gridCol w:w="4810"/>
      </w:tblGrid>
      <w:tr>
        <w:trPr/>
        <w:tc>
          <w:tcPr>
            <w:tcW w:w="2145" w:type="dxa"/>
            <w:vMerge w:val="restart"/>
            <w:tcBorders/>
            <w:shd w:fill="FFFFFF" w:val="clear"/>
          </w:tcPr>
          <w:p>
            <w:pPr>
              <w:pStyle w:val="Padro"/>
              <w:tabs>
                <w:tab w:val="left" w:pos="567" w:leader="none"/>
                <w:tab w:val="left" w:pos="1701" w:leader="none"/>
              </w:tabs>
              <w:jc w:val="center"/>
              <w:rPr>
                <w:rFonts w:ascii="Times New Roman" w:hAnsi="Times New Roman" w:cs="Times New Roman"/>
                <w:color w:val="000000"/>
                <w:sz w:val="22"/>
                <w:szCs w:val="22"/>
              </w:rPr>
            </w:pPr>
            <w:r>
              <w:rPr>
                <w:rFonts w:cs="Times New Roman" w:ascii="Times New Roman" w:hAnsi="Times New Roman"/>
                <w:color w:val="000000"/>
                <w:sz w:val="22"/>
                <w:szCs w:val="22"/>
              </w:rPr>
              <w:t>I = (TX)</w:t>
            </w:r>
          </w:p>
        </w:tc>
        <w:tc>
          <w:tcPr>
            <w:tcW w:w="440" w:type="dxa"/>
            <w:vMerge w:val="restart"/>
            <w:tcBorders/>
            <w:shd w:fill="FFFFFF" w:val="clear"/>
          </w:tcPr>
          <w:p>
            <w:pPr>
              <w:pStyle w:val="Padro"/>
              <w:tabs>
                <w:tab w:val="left" w:pos="567" w:leader="none"/>
                <w:tab w:val="left" w:pos="1701" w:leader="none"/>
              </w:tabs>
              <w:rPr>
                <w:rFonts w:ascii="Times New Roman" w:hAnsi="Times New Roman" w:cs="Times New Roman"/>
                <w:color w:val="000000"/>
                <w:sz w:val="22"/>
                <w:szCs w:val="22"/>
              </w:rPr>
            </w:pPr>
            <w:r>
              <w:rPr>
                <w:rFonts w:cs="Times New Roman" w:ascii="Times New Roman" w:hAnsi="Times New Roman"/>
                <w:color w:val="000000"/>
                <w:sz w:val="22"/>
                <w:szCs w:val="22"/>
              </w:rPr>
              <w:t xml:space="preserve">I = </w:t>
            </w:r>
          </w:p>
        </w:tc>
        <w:tc>
          <w:tcPr>
            <w:tcW w:w="1247" w:type="dxa"/>
            <w:tcBorders>
              <w:bottom w:val="single" w:sz="4" w:space="0" w:color="00000A"/>
              <w:insideH w:val="single" w:sz="4" w:space="0" w:color="00000A"/>
            </w:tcBorders>
            <w:shd w:fill="FFFFFF" w:val="clear"/>
          </w:tcPr>
          <w:p>
            <w:pPr>
              <w:pStyle w:val="Padro"/>
              <w:tabs>
                <w:tab w:val="left" w:pos="567" w:leader="none"/>
                <w:tab w:val="left" w:pos="1701" w:leader="none"/>
              </w:tabs>
              <w:jc w:val="center"/>
              <w:rPr>
                <w:rFonts w:ascii="Times New Roman" w:hAnsi="Times New Roman" w:cs="Times New Roman"/>
                <w:color w:val="000000"/>
                <w:sz w:val="22"/>
                <w:szCs w:val="22"/>
              </w:rPr>
            </w:pPr>
            <w:r>
              <w:rPr>
                <w:rFonts w:cs="Times New Roman" w:ascii="Times New Roman" w:hAnsi="Times New Roman"/>
                <w:color w:val="000000"/>
                <w:sz w:val="22"/>
                <w:szCs w:val="22"/>
              </w:rPr>
              <w:t>( 6 / 100 )</w:t>
            </w:r>
          </w:p>
        </w:tc>
        <w:tc>
          <w:tcPr>
            <w:tcW w:w="4810" w:type="dxa"/>
            <w:vMerge w:val="restart"/>
            <w:tcBorders/>
            <w:shd w:fill="FFFFFF" w:val="clear"/>
          </w:tcPr>
          <w:p>
            <w:pPr>
              <w:pStyle w:val="Padro"/>
              <w:tabs>
                <w:tab w:val="left" w:pos="567" w:leader="none"/>
                <w:tab w:val="left" w:pos="1309" w:leader="none"/>
                <w:tab w:val="left" w:pos="2051" w:leader="none"/>
                <w:tab w:val="left" w:pos="2793" w:leader="none"/>
                <w:tab w:val="left" w:pos="4669" w:leader="none"/>
              </w:tabs>
              <w:ind w:left="742" w:right="0" w:hanging="0"/>
              <w:rPr>
                <w:rFonts w:ascii="Times New Roman" w:hAnsi="Times New Roman" w:cs="Times New Roman"/>
                <w:color w:val="000000"/>
                <w:sz w:val="22"/>
                <w:szCs w:val="22"/>
              </w:rPr>
            </w:pPr>
            <w:r>
              <w:rPr>
                <w:rFonts w:cs="Times New Roman" w:ascii="Times New Roman" w:hAnsi="Times New Roman"/>
                <w:color w:val="000000"/>
                <w:sz w:val="22"/>
                <w:szCs w:val="22"/>
              </w:rPr>
              <w:t>I = 0,00016438</w:t>
            </w:r>
          </w:p>
          <w:p>
            <w:pPr>
              <w:pStyle w:val="Padro"/>
              <w:tabs>
                <w:tab w:val="left" w:pos="567" w:leader="none"/>
                <w:tab w:val="left" w:pos="1309" w:leader="none"/>
                <w:tab w:val="left" w:pos="2051" w:leader="none"/>
                <w:tab w:val="left" w:pos="2793" w:leader="none"/>
                <w:tab w:val="left" w:pos="4669" w:leader="none"/>
              </w:tabs>
              <w:ind w:left="742" w:right="0" w:hanging="0"/>
              <w:rPr>
                <w:rFonts w:ascii="Times New Roman" w:hAnsi="Times New Roman" w:cs="Times New Roman"/>
                <w:color w:val="000000"/>
                <w:sz w:val="22"/>
                <w:szCs w:val="22"/>
              </w:rPr>
            </w:pPr>
            <w:r>
              <w:rPr>
                <w:rFonts w:cs="Times New Roman" w:ascii="Times New Roman" w:hAnsi="Times New Roman"/>
                <w:color w:val="000000"/>
                <w:sz w:val="22"/>
                <w:szCs w:val="22"/>
              </w:rPr>
              <w:t>TX = Percentual da taxa anual = 6%</w:t>
            </w:r>
          </w:p>
        </w:tc>
      </w:tr>
      <w:tr>
        <w:trPr/>
        <w:tc>
          <w:tcPr>
            <w:tcW w:w="2145" w:type="dxa"/>
            <w:vMerge w:val="continue"/>
            <w:tcBorders/>
            <w:shd w:fill="FFFFFF" w:val="clear"/>
          </w:tcPr>
          <w:p>
            <w:pPr>
              <w:pStyle w:val="Normal"/>
              <w:widowControl/>
              <w:bidi w:val="0"/>
              <w:spacing w:lineRule="auto" w:line="276" w:before="0" w:after="200"/>
              <w:jc w:val="left"/>
              <w:rPr/>
            </w:pPr>
            <w:r>
              <w:rPr/>
            </w:r>
          </w:p>
        </w:tc>
        <w:tc>
          <w:tcPr>
            <w:tcW w:w="440" w:type="dxa"/>
            <w:vMerge w:val="continue"/>
            <w:tcBorders/>
            <w:shd w:fill="FFFFFF" w:val="clear"/>
          </w:tcPr>
          <w:p>
            <w:pPr>
              <w:pStyle w:val="Normal"/>
              <w:widowControl/>
              <w:bidi w:val="0"/>
              <w:spacing w:lineRule="auto" w:line="276" w:before="0" w:after="200"/>
              <w:jc w:val="left"/>
              <w:rPr/>
            </w:pPr>
            <w:r>
              <w:rPr/>
            </w:r>
          </w:p>
        </w:tc>
        <w:tc>
          <w:tcPr>
            <w:tcW w:w="1247" w:type="dxa"/>
            <w:tcBorders>
              <w:top w:val="single" w:sz="4" w:space="0" w:color="00000A"/>
            </w:tcBorders>
            <w:shd w:fill="FFFFFF" w:val="clear"/>
          </w:tcPr>
          <w:p>
            <w:pPr>
              <w:pStyle w:val="Padro"/>
              <w:tabs>
                <w:tab w:val="left" w:pos="567" w:leader="none"/>
                <w:tab w:val="left" w:pos="1701" w:leader="none"/>
              </w:tabs>
              <w:jc w:val="center"/>
              <w:rPr>
                <w:rFonts w:ascii="Times New Roman" w:hAnsi="Times New Roman" w:cs="Times New Roman"/>
                <w:color w:val="000000"/>
                <w:sz w:val="22"/>
                <w:szCs w:val="22"/>
              </w:rPr>
            </w:pPr>
            <w:r>
              <w:rPr>
                <w:rFonts w:cs="Times New Roman" w:ascii="Times New Roman" w:hAnsi="Times New Roman"/>
                <w:color w:val="000000"/>
                <w:sz w:val="22"/>
                <w:szCs w:val="22"/>
              </w:rPr>
              <w:t>365</w:t>
            </w:r>
          </w:p>
        </w:tc>
        <w:tc>
          <w:tcPr>
            <w:tcW w:w="4810" w:type="dxa"/>
            <w:vMerge w:val="continue"/>
            <w:tcBorders/>
            <w:shd w:fill="FFFFFF" w:val="clear"/>
          </w:tcPr>
          <w:p>
            <w:pPr>
              <w:pStyle w:val="Normal"/>
              <w:widowControl/>
              <w:bidi w:val="0"/>
              <w:spacing w:lineRule="auto" w:line="276" w:before="0" w:after="200"/>
              <w:jc w:val="left"/>
              <w:rPr/>
            </w:pPr>
            <w:r>
              <w:rPr/>
            </w:r>
          </w:p>
        </w:tc>
      </w:tr>
    </w:tbl>
    <w:p>
      <w:pPr>
        <w:pStyle w:val="Padro"/>
        <w:tabs>
          <w:tab w:val="left" w:pos="567" w:leader="none"/>
          <w:tab w:val="left" w:pos="992" w:leader="none"/>
          <w:tab w:val="left" w:pos="1417" w:leader="none"/>
          <w:tab w:val="left" w:pos="1842" w:leader="none"/>
          <w:tab w:val="left" w:pos="3401" w:leader="none"/>
        </w:tabs>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1"/>
        </w:numPr>
        <w:spacing w:before="120" w:after="12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 xml:space="preserve">DA FORMAÇÃO DO CADASTRO DE RESERVA </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Após o encerramento da etapa competitiva, os licitantes poderão reduzir seus preços ao valor da proposta do licitante mais bem classificado.</w:t>
      </w:r>
    </w:p>
    <w:p>
      <w:pPr>
        <w:pStyle w:val="Padro"/>
        <w:numPr>
          <w:ilvl w:val="2"/>
          <w:numId w:val="1"/>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apresentação de novas propostas na forma deste item não prejudicará o resultado do certame em relação ao licitante melhor classificado.</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Havendo um ou mais licitantes que aceitem cotar suas propostas em valor igual ao do licitante vencedor, estes serão classificados segundo a ordem da última proposta individual apresentada durante a fase competitiva.</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pPr>
        <w:pStyle w:val="Padro"/>
        <w:spacing w:before="120" w:after="12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1"/>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DAS SANÇÕES ADMINISTRATIVAS.</w:t>
      </w:r>
    </w:p>
    <w:p>
      <w:pPr>
        <w:pStyle w:val="Padro"/>
        <w:numPr>
          <w:ilvl w:val="1"/>
          <w:numId w:val="1"/>
        </w:numPr>
        <w:spacing w:before="120" w:after="120"/>
        <w:ind w:left="425"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 xml:space="preserve">Comete infração administrativa, nos termos da Lei nº 10.520, de 2002, o licitante/adjudicatário que: </w:t>
      </w:r>
    </w:p>
    <w:p>
      <w:pPr>
        <w:pStyle w:val="Padro"/>
        <w:numPr>
          <w:ilvl w:val="2"/>
          <w:numId w:val="1"/>
        </w:numPr>
        <w:spacing w:before="120" w:after="120"/>
        <w:ind w:left="1134" w:right="0" w:hanging="0"/>
        <w:jc w:val="both"/>
        <w:rPr>
          <w:rFonts w:ascii="Times New Roman" w:hAnsi="Times New Roman" w:cs="Times New Roman"/>
          <w:color w:val="000000"/>
          <w:sz w:val="22"/>
          <w:szCs w:val="22"/>
          <w:highlight w:val="white"/>
        </w:rPr>
      </w:pPr>
      <w:r>
        <w:rPr>
          <w:rFonts w:cs="Times New Roman" w:ascii="Times New Roman" w:hAnsi="Times New Roman"/>
          <w:color w:val="000000"/>
          <w:sz w:val="22"/>
          <w:szCs w:val="22"/>
          <w:highlight w:val="white"/>
        </w:rPr>
        <w:t>não assinar a ata de registro de preços quando convocado dentro do prazo de validade da proposta, não aceitar/retirar a nota de empenho ou não assinar o termo de contrato decorrente da ata de registro de preços;</w:t>
      </w:r>
    </w:p>
    <w:p>
      <w:pPr>
        <w:pStyle w:val="Padro"/>
        <w:numPr>
          <w:ilvl w:val="2"/>
          <w:numId w:val="1"/>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apresentar documentação falsa;</w:t>
      </w:r>
    </w:p>
    <w:p>
      <w:pPr>
        <w:pStyle w:val="Padro"/>
        <w:numPr>
          <w:ilvl w:val="2"/>
          <w:numId w:val="1"/>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deixar de entregar os documentos exigidos no certame;</w:t>
      </w:r>
    </w:p>
    <w:p>
      <w:pPr>
        <w:pStyle w:val="Padro"/>
        <w:numPr>
          <w:ilvl w:val="2"/>
          <w:numId w:val="1"/>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ensejar o retardamento da execução do objeto;</w:t>
      </w:r>
    </w:p>
    <w:p>
      <w:pPr>
        <w:pStyle w:val="Padro"/>
        <w:numPr>
          <w:ilvl w:val="2"/>
          <w:numId w:val="1"/>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não mantiver a proposta;</w:t>
      </w:r>
    </w:p>
    <w:p>
      <w:pPr>
        <w:pStyle w:val="Padro"/>
        <w:numPr>
          <w:ilvl w:val="2"/>
          <w:numId w:val="1"/>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cometer fraude fiscal;</w:t>
      </w:r>
    </w:p>
    <w:p>
      <w:pPr>
        <w:pStyle w:val="Padro"/>
        <w:numPr>
          <w:ilvl w:val="2"/>
          <w:numId w:val="1"/>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comportar-se de modo inidôneo.</w:t>
      </w:r>
    </w:p>
    <w:p>
      <w:pPr>
        <w:pStyle w:val="Padro"/>
        <w:numPr>
          <w:ilvl w:val="1"/>
          <w:numId w:val="1"/>
        </w:numPr>
        <w:spacing w:before="120" w:after="120"/>
        <w:ind w:left="425" w:right="0" w:hanging="0"/>
        <w:jc w:val="both"/>
        <w:rPr>
          <w:rFonts w:ascii="Times New Roman" w:hAnsi="Times New Roman" w:cs="Times New Roman"/>
          <w:color w:val="000000"/>
          <w:sz w:val="22"/>
          <w:szCs w:val="22"/>
          <w:highlight w:val="white"/>
        </w:rPr>
      </w:pPr>
      <w:r>
        <w:rPr>
          <w:rFonts w:cs="Times New Roman" w:ascii="Times New Roman" w:hAnsi="Times New Roman"/>
          <w:color w:val="000000"/>
          <w:sz w:val="22"/>
          <w:szCs w:val="22"/>
          <w:highlight w:val="white"/>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Padro"/>
        <w:numPr>
          <w:ilvl w:val="1"/>
          <w:numId w:val="1"/>
        </w:numPr>
        <w:spacing w:before="120" w:after="120"/>
        <w:ind w:left="0"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 xml:space="preserve"> </w:t>
      </w:r>
      <w:r>
        <w:rPr>
          <w:rFonts w:cs="Times New Roman" w:ascii="Times New Roman" w:hAnsi="Times New Roman"/>
          <w:sz w:val="22"/>
          <w:szCs w:val="22"/>
          <w:highlight w:val="white"/>
        </w:rPr>
        <w:t>licitante/adjudicatário que cometer qualquer das infrações discriminadas no subitem anterior ficará sujeito, sem prejuízo da responsabilidade civil e criminal, às seguintes sanções:</w:t>
      </w:r>
    </w:p>
    <w:p>
      <w:pPr>
        <w:pStyle w:val="Padro"/>
        <w:numPr>
          <w:ilvl w:val="2"/>
          <w:numId w:val="1"/>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Multa de 10% (dez por cento) sobre o valor estimado do(s) item(s) prejudicado(s) pela conduta do licitante;</w:t>
      </w:r>
    </w:p>
    <w:p>
      <w:pPr>
        <w:pStyle w:val="Padro"/>
        <w:numPr>
          <w:ilvl w:val="2"/>
          <w:numId w:val="1"/>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Impedimento de licitar e de contratar com a União e descredenciamento no SICAF, pelo prazo de até cinco anos;</w:t>
      </w:r>
    </w:p>
    <w:p>
      <w:pPr>
        <w:pStyle w:val="Padro"/>
        <w:numPr>
          <w:ilvl w:val="1"/>
          <w:numId w:val="1"/>
        </w:numPr>
        <w:spacing w:before="120" w:after="120"/>
        <w:ind w:left="425"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A penalidade de multa pode ser aplicada cumulativamente com a sanção de impedimento.</w:t>
      </w:r>
    </w:p>
    <w:p>
      <w:pPr>
        <w:pStyle w:val="Padro"/>
        <w:numPr>
          <w:ilvl w:val="2"/>
          <w:numId w:val="1"/>
        </w:numPr>
        <w:spacing w:before="120" w:after="120"/>
        <w:ind w:left="1134" w:right="0" w:hanging="0"/>
        <w:jc w:val="both"/>
        <w:rPr/>
      </w:pPr>
      <w:r>
        <w:rPr>
          <w:rFonts w:cs="Times New Roman" w:ascii="Times New Roman" w:hAnsi="Times New Roman"/>
          <w:sz w:val="22"/>
          <w:szCs w:val="22"/>
        </w:rPr>
        <w:t xml:space="preserve">A </w:t>
      </w:r>
      <w:r>
        <w:rPr>
          <w:rFonts w:cs="Times New Roman" w:ascii="Times New Roman" w:hAnsi="Times New Roman"/>
          <w:color w:val="000000"/>
          <w:sz w:val="22"/>
          <w:szCs w:val="22"/>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Padro"/>
        <w:numPr>
          <w:ilvl w:val="1"/>
          <w:numId w:val="1"/>
        </w:numPr>
        <w:spacing w:before="120" w:after="120"/>
        <w:ind w:left="425" w:right="0" w:hanging="0"/>
        <w:jc w:val="both"/>
        <w:rPr/>
      </w:pPr>
      <w:r>
        <w:rPr>
          <w:rFonts w:cs="Times New Roman" w:ascii="Times New Roman" w:hAnsi="Times New Roman"/>
          <w:color w:val="000000"/>
          <w:sz w:val="22"/>
          <w:szCs w:val="22"/>
        </w:rPr>
        <w:t xml:space="preserve">A autoridade competente, na aplicação das sanções, levará em </w:t>
      </w:r>
      <w:r>
        <w:rPr>
          <w:rFonts w:cs="Times New Roman" w:ascii="Times New Roman" w:hAnsi="Times New Roman"/>
          <w:sz w:val="22"/>
          <w:szCs w:val="22"/>
          <w:highlight w:val="white"/>
        </w:rPr>
        <w:t>consideração</w:t>
      </w:r>
      <w:r>
        <w:rPr>
          <w:rFonts w:cs="Times New Roman" w:ascii="Times New Roman" w:hAnsi="Times New Roman"/>
          <w:color w:val="000000"/>
          <w:sz w:val="22"/>
          <w:szCs w:val="22"/>
        </w:rPr>
        <w:t xml:space="preserve"> a gravidade da conduta do infrator, o caráter educativo da pena, bem como o dano causado à Administração, observado o princípio da proporcionalidade,</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As penalidades serão obrigatoriamente registradas no SICAF.</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As sanções por atos praticados no decorrer da contratação estão previstas no Termo de Referência.</w:t>
      </w:r>
    </w:p>
    <w:p>
      <w:pPr>
        <w:pStyle w:val="Padro"/>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1"/>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DA IMPUGNAÇÃO AO EDITAL E DO PEDIDO DE ESCLARECIMENTO</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Até 02 (dois) dias úteis antes da data designada para a abertura da sessão pública, qualquer pessoa poderá impugnar este Edital.</w:t>
      </w:r>
    </w:p>
    <w:p>
      <w:pPr>
        <w:pStyle w:val="Padro"/>
        <w:numPr>
          <w:ilvl w:val="1"/>
          <w:numId w:val="1"/>
        </w:numPr>
        <w:spacing w:before="120" w:after="120"/>
        <w:jc w:val="both"/>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 xml:space="preserve">A impugnação poderá ser realizada por forma eletrônica, pelo e-mail </w:t>
      </w:r>
      <w:r>
        <w:rPr>
          <w:rFonts w:cs="Times New Roman" w:ascii="Times New Roman" w:hAnsi="Times New Roman"/>
          <w:b/>
          <w:bCs/>
          <w:color w:val="000000"/>
          <w:sz w:val="22"/>
          <w:szCs w:val="22"/>
        </w:rPr>
        <w:t>licitacoes@ifsertao-pe.edu.br</w:t>
      </w:r>
      <w:r>
        <w:rPr>
          <w:rFonts w:cs="Times New Roman" w:ascii="Times New Roman" w:hAnsi="Times New Roman"/>
          <w:color w:val="000000"/>
          <w:sz w:val="22"/>
          <w:szCs w:val="22"/>
        </w:rPr>
        <w:t xml:space="preserve">, pelo fax </w:t>
      </w:r>
      <w:r>
        <w:rPr>
          <w:rFonts w:cs="Times New Roman" w:ascii="Times New Roman" w:hAnsi="Times New Roman"/>
          <w:b/>
          <w:bCs/>
          <w:color w:val="000000"/>
          <w:sz w:val="22"/>
          <w:szCs w:val="22"/>
        </w:rPr>
        <w:t>(87) 2101-2350</w:t>
      </w:r>
      <w:r>
        <w:rPr>
          <w:rFonts w:cs="Times New Roman" w:ascii="Times New Roman" w:hAnsi="Times New Roman"/>
          <w:color w:val="000000"/>
          <w:sz w:val="22"/>
          <w:szCs w:val="22"/>
        </w:rPr>
        <w:t xml:space="preserve">, ou por petição dirigida ou </w:t>
      </w:r>
      <w:r>
        <w:rPr>
          <w:rFonts w:eastAsia="Times New Roman" w:cs="Times New Roman" w:ascii="Times New Roman" w:hAnsi="Times New Roman"/>
          <w:color w:val="000000"/>
          <w:sz w:val="22"/>
          <w:szCs w:val="22"/>
          <w:lang w:val="pt-BR" w:eastAsia="pt-BR" w:bidi="ar-SA"/>
        </w:rPr>
        <w:t xml:space="preserve">protocolada no endereço </w:t>
      </w:r>
      <w:r>
        <w:rPr>
          <w:rStyle w:val="Fontepargpadro1"/>
          <w:rFonts w:eastAsia="Times New Roman" w:cs="Times New Roman" w:ascii="Times New Roman" w:hAnsi="Times New Roman"/>
          <w:b/>
          <w:bCs/>
          <w:iCs/>
          <w:color w:val="000000"/>
          <w:spacing w:val="0"/>
          <w:sz w:val="22"/>
          <w:szCs w:val="22"/>
          <w:u w:val="none"/>
          <w:lang w:val="pt-BR" w:eastAsia="pt-BR" w:bidi="ar-SA"/>
        </w:rPr>
        <w:t>Rua Aristarco Lopes, 240, Centro, Petrolina-PE</w:t>
      </w:r>
      <w:r>
        <w:rPr>
          <w:rStyle w:val="Fontepargpadro"/>
          <w:rFonts w:eastAsia="Times New Roman" w:cs="Times New Roman" w:ascii="Times New Roman" w:hAnsi="Times New Roman"/>
          <w:b/>
          <w:bCs/>
          <w:color w:val="000000"/>
          <w:spacing w:val="0"/>
          <w:sz w:val="22"/>
          <w:szCs w:val="22"/>
          <w:u w:val="none"/>
          <w:lang w:val="pt-BR" w:eastAsia="pt-BR" w:bidi="ar-SA"/>
        </w:rPr>
        <w:t>, CEP: 56302-100.</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Caberá ao Pregoeiro decidir sobre a impugnação no prazo de até vinte e quatro horas.</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Acolhida a impugnação, será definida e publicada nova data para a realização do certame.</w:t>
      </w:r>
    </w:p>
    <w:p>
      <w:pPr>
        <w:pStyle w:val="Padro"/>
        <w:numPr>
          <w:ilvl w:val="1"/>
          <w:numId w:val="1"/>
        </w:numPr>
        <w:spacing w:before="120" w:after="120"/>
        <w:ind w:left="425" w:right="0" w:hanging="0"/>
        <w:jc w:val="both"/>
        <w:rPr/>
      </w:pPr>
      <w:r>
        <w:rPr>
          <w:rFonts w:cs="Times New Roman" w:ascii="Times New Roman" w:hAnsi="Times New Roman"/>
          <w:color w:val="000000"/>
          <w:sz w:val="22"/>
          <w:szCs w:val="22"/>
        </w:rPr>
        <w:t xml:space="preserve">Os pedidos de esclarecimentos referentes a este processo licitatório deverão ser enviados ao Pregoeiro, até 03 (três) dias úteis anteriores à data designada para abertura da sessão pública, </w:t>
      </w:r>
      <w:r>
        <w:rPr>
          <w:rFonts w:cs="Times New Roman" w:ascii="Times New Roman" w:hAnsi="Times New Roman"/>
          <w:bCs/>
          <w:sz w:val="22"/>
          <w:szCs w:val="22"/>
          <w:lang w:eastAsia="en-US"/>
        </w:rPr>
        <w:t>exclusivamente por meio eletrônico via internet, no endereço indicado no Edital.</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As impugnações e pedidos de esclarecimentos não suspendem os prazos previstos no certame.</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As respostas às impugnações e os esclarecimentos prestados pelo Pregoeiro serão entranhados nos autos do processo licitatório e estarão disponíveis para consulta por qualquer interessado.</w:t>
      </w:r>
    </w:p>
    <w:p>
      <w:pPr>
        <w:pStyle w:val="Padro"/>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1"/>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DAS DISPOSIÇÕES GERAIS</w:t>
      </w:r>
    </w:p>
    <w:p>
      <w:pPr>
        <w:pStyle w:val="Padro"/>
        <w:numPr>
          <w:ilvl w:val="1"/>
          <w:numId w:val="1"/>
        </w:numPr>
        <w:spacing w:before="120" w:after="120"/>
        <w:ind w:left="425" w:right="0" w:hanging="0"/>
        <w:jc w:val="both"/>
        <w:rPr/>
      </w:pPr>
      <w:r>
        <w:rPr>
          <w:rFonts w:cs="Times New Roman" w:ascii="Times New Roman" w:hAnsi="Times New Roman"/>
          <w:color w:val="000000"/>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A homologação do resultado desta licitação não implicará direito à contratação.</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Na contagem dos prazos estabelecidos neste Edital e seus Anexos, excluir-se-á o dia do início e incluir-se-á o do vencimento. Só se iniciam e vencem os prazos em dias de expediente na Administração.</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desatendimento de exigências formais não essenciais não importará o afastamento do licitante, desde que seja possível o aproveitamento do ato, observados os princípios da isonomia e do interesse público.</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Em caso de divergência entre disposições deste Edital e de seus anexos ou demais peças que compõem o processo, prevalecerá as deste Edital.</w:t>
      </w:r>
    </w:p>
    <w:p>
      <w:pPr>
        <w:pStyle w:val="Padro"/>
        <w:numPr>
          <w:ilvl w:val="1"/>
          <w:numId w:val="1"/>
        </w:numPr>
        <w:spacing w:before="120" w:after="120"/>
        <w:jc w:val="both"/>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 xml:space="preserve">O Edital está disponibilizado, na íntegra, no endereço eletrônico </w:t>
      </w:r>
      <w:r>
        <w:rPr>
          <w:rFonts w:cs="Times New Roman" w:ascii="Times New Roman" w:hAnsi="Times New Roman"/>
          <w:b/>
          <w:bCs/>
          <w:color w:val="000000"/>
          <w:sz w:val="22"/>
          <w:szCs w:val="22"/>
        </w:rPr>
        <w:t>www.comprasgovernamentais.gov.br</w:t>
      </w:r>
      <w:r>
        <w:rPr>
          <w:rFonts w:cs="Times New Roman" w:ascii="Times New Roman" w:hAnsi="Times New Roman"/>
          <w:color w:val="000000"/>
          <w:sz w:val="22"/>
          <w:szCs w:val="22"/>
        </w:rPr>
        <w:t>, e também poderão ser lidos e/ou obtidos no endereço</w:t>
      </w:r>
      <w:r>
        <w:rPr>
          <w:rFonts w:eastAsia="Times New Roman" w:cs="Times New Roman" w:ascii="Times New Roman" w:hAnsi="Times New Roman"/>
          <w:b/>
          <w:bCs/>
          <w:color w:val="000000"/>
          <w:sz w:val="22"/>
          <w:szCs w:val="22"/>
          <w:lang w:val="pt-BR" w:eastAsia="pt-BR" w:bidi="ar-SA"/>
        </w:rPr>
        <w:t xml:space="preserve"> </w:t>
      </w:r>
      <w:r>
        <w:rPr>
          <w:rStyle w:val="Fontepargpadro1"/>
          <w:rFonts w:eastAsia="Times New Roman" w:cs="Times New Roman" w:ascii="Times New Roman" w:hAnsi="Times New Roman"/>
          <w:b/>
          <w:bCs/>
          <w:iCs/>
          <w:color w:val="000000"/>
          <w:spacing w:val="0"/>
          <w:sz w:val="22"/>
          <w:szCs w:val="22"/>
          <w:u w:val="none"/>
          <w:lang w:val="pt-BR" w:eastAsia="pt-BR" w:bidi="ar-SA"/>
        </w:rPr>
        <w:t>Rua Aristarco Lopes, 240, Centro, Petrolina-PE</w:t>
      </w:r>
      <w:r>
        <w:rPr>
          <w:rStyle w:val="Fontepargpadro"/>
          <w:rFonts w:eastAsia="Times New Roman" w:cs="Times New Roman" w:ascii="Times New Roman" w:hAnsi="Times New Roman"/>
          <w:b/>
          <w:bCs/>
          <w:color w:val="000000"/>
          <w:spacing w:val="0"/>
          <w:sz w:val="22"/>
          <w:szCs w:val="22"/>
          <w:u w:val="none"/>
          <w:lang w:val="pt-BR" w:eastAsia="pt-BR" w:bidi="ar-SA"/>
        </w:rPr>
        <w:t>, CEP: 56302-100.</w:t>
      </w:r>
      <w:r>
        <w:rPr>
          <w:rFonts w:eastAsia="Times New Roman" w:cs="Times New Roman" w:ascii="Times New Roman" w:hAnsi="Times New Roman"/>
          <w:color w:val="000000"/>
          <w:sz w:val="22"/>
          <w:szCs w:val="22"/>
          <w:lang w:val="pt-BR" w:eastAsia="pt-BR" w:bidi="ar-SA"/>
        </w:rPr>
        <w:t xml:space="preserve">, </w:t>
      </w:r>
      <w:r>
        <w:rPr>
          <w:rFonts w:cs="Times New Roman" w:ascii="Times New Roman" w:hAnsi="Times New Roman"/>
          <w:color w:val="000000"/>
          <w:sz w:val="22"/>
          <w:szCs w:val="22"/>
        </w:rPr>
        <w:t xml:space="preserve">nos dias úteis, no horário das </w:t>
      </w:r>
      <w:r>
        <w:rPr>
          <w:rFonts w:cs="Times New Roman" w:ascii="Times New Roman" w:hAnsi="Times New Roman"/>
          <w:b/>
          <w:bCs/>
          <w:color w:val="000000"/>
          <w:sz w:val="22"/>
          <w:szCs w:val="22"/>
        </w:rPr>
        <w:t>8 (oito) horas às 17 (dezessete) horas</w:t>
      </w:r>
      <w:r>
        <w:rPr>
          <w:rFonts w:cs="Times New Roman" w:ascii="Times New Roman" w:hAnsi="Times New Roman"/>
          <w:color w:val="000000"/>
          <w:sz w:val="22"/>
          <w:szCs w:val="22"/>
        </w:rPr>
        <w:t>, mesmo endereço e período no qual os autos do processo administrativo permanecerão com vista franqueada aos interessados.</w:t>
      </w:r>
    </w:p>
    <w:p>
      <w:pPr>
        <w:pStyle w:val="Padro"/>
        <w:numPr>
          <w:ilvl w:val="1"/>
          <w:numId w:val="1"/>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Integram este Edital, para todos os fins e efeitos, os seguintes anexos:</w:t>
      </w:r>
    </w:p>
    <w:p>
      <w:pPr>
        <w:pStyle w:val="Padro"/>
        <w:numPr>
          <w:ilvl w:val="2"/>
          <w:numId w:val="1"/>
        </w:numPr>
        <w:spacing w:before="120" w:after="120"/>
        <w:jc w:val="both"/>
        <w:rPr/>
      </w:pPr>
      <w:r>
        <w:rPr>
          <w:rFonts w:cs="Times New Roman" w:ascii="Times New Roman" w:hAnsi="Times New Roman"/>
          <w:color w:val="000000"/>
          <w:sz w:val="22"/>
          <w:szCs w:val="22"/>
        </w:rPr>
        <w:t>ANEXO I - Termo de Referência;</w:t>
      </w:r>
      <w:r>
        <w:rPr>
          <w:rFonts w:eastAsia="Times New Roman" w:cs="Times New Roman" w:ascii="Times New Roman" w:hAnsi="Times New Roman"/>
          <w:b/>
          <w:bCs/>
          <w:color w:val="000000"/>
          <w:sz w:val="22"/>
          <w:szCs w:val="22"/>
          <w:lang w:val="pt-BR" w:eastAsia="pt-BR" w:bidi="ar-SA"/>
        </w:rPr>
        <w:t xml:space="preserve">            </w:t>
      </w:r>
    </w:p>
    <w:p>
      <w:pPr>
        <w:pStyle w:val="Padro"/>
        <w:numPr>
          <w:ilvl w:val="2"/>
          <w:numId w:val="1"/>
        </w:numPr>
        <w:spacing w:before="120" w:after="120"/>
        <w:jc w:val="both"/>
        <w:rPr>
          <w:rFonts w:ascii="Times New Roman" w:hAnsi="Times New Roman" w:cs="Times New Roman"/>
          <w:color w:val="000000"/>
          <w:sz w:val="22"/>
          <w:szCs w:val="22"/>
        </w:rPr>
      </w:pPr>
      <w:r>
        <w:rPr>
          <w:rFonts w:cs="Times New Roman" w:ascii="Times New Roman" w:hAnsi="Times New Roman"/>
          <w:color w:val="000000"/>
          <w:sz w:val="22"/>
          <w:szCs w:val="22"/>
        </w:rPr>
        <w:t>ANEXO II – Ata de Registro de Preços;</w:t>
      </w:r>
    </w:p>
    <w:p>
      <w:pPr>
        <w:pStyle w:val="Padro"/>
        <w:numPr>
          <w:ilvl w:val="2"/>
          <w:numId w:val="1"/>
        </w:numPr>
        <w:spacing w:before="120" w:after="12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 xml:space="preserve"> </w:t>
      </w:r>
      <w:r>
        <w:rPr>
          <w:rFonts w:cs="Times New Roman" w:ascii="Times New Roman" w:hAnsi="Times New Roman"/>
          <w:bCs/>
          <w:iCs/>
          <w:color w:val="000000"/>
          <w:sz w:val="22"/>
          <w:szCs w:val="22"/>
        </w:rPr>
        <w:t>ANEXO III – Minuta de Termo de Contrato.</w:t>
      </w:r>
    </w:p>
    <w:p>
      <w:pPr>
        <w:pStyle w:val="Padro"/>
        <w:spacing w:before="120" w:after="120"/>
        <w:jc w:val="both"/>
        <w:rPr>
          <w:rFonts w:ascii="Times New Roman" w:hAnsi="Times New Roman" w:cs="Times New Roman"/>
          <w:sz w:val="22"/>
          <w:szCs w:val="22"/>
        </w:rPr>
      </w:pPr>
      <w:r>
        <w:rPr>
          <w:rFonts w:cs="Times New Roman" w:ascii="Times New Roman" w:hAnsi="Times New Roman"/>
          <w:sz w:val="22"/>
          <w:szCs w:val="22"/>
        </w:rPr>
      </w:r>
    </w:p>
    <w:p>
      <w:pPr>
        <w:pStyle w:val="Padro"/>
        <w:spacing w:before="0" w:after="120"/>
        <w:ind w:left="360" w:right="-15" w:hanging="0"/>
        <w:jc w:val="right"/>
        <w:rPr>
          <w:highlight w:val="yellow"/>
        </w:rPr>
      </w:pPr>
      <w:r>
        <w:rPr>
          <w:rFonts w:cs="Times New Roman" w:ascii="Times New Roman" w:hAnsi="Times New Roman"/>
          <w:color w:val="000000"/>
          <w:sz w:val="22"/>
          <w:szCs w:val="22"/>
          <w:highlight w:val="yellow"/>
        </w:rPr>
        <w:t>Petrolina-PE, 11 de  Janeiro de 2019.</w:t>
      </w:r>
    </w:p>
    <w:p>
      <w:pPr>
        <w:pStyle w:val="Padro"/>
        <w:spacing w:before="0" w:after="120"/>
        <w:ind w:left="0" w:right="-15" w:firstLine="720"/>
        <w:jc w:val="both"/>
        <w:rPr>
          <w:rFonts w:ascii="Times New Roman" w:hAnsi="Times New Roman" w:eastAsia="Ecofont_Spranq_eco_Sans" w:cs="Times New Roman"/>
          <w:b/>
          <w:b/>
          <w:bCs/>
          <w:color w:val="000000"/>
          <w:sz w:val="22"/>
          <w:szCs w:val="22"/>
        </w:rPr>
      </w:pPr>
      <w:r>
        <w:rPr>
          <w:rFonts w:eastAsia="Ecofont_Spranq_eco_Sans" w:cs="Times New Roman" w:ascii="Times New Roman" w:hAnsi="Times New Roman"/>
          <w:b/>
          <w:bCs/>
          <w:color w:val="000000"/>
          <w:sz w:val="22"/>
          <w:szCs w:val="22"/>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
    </w:p>
    <w:p>
      <w:pPr>
        <w:pStyle w:val="Normal"/>
        <w:spacing w:lineRule="auto" w:line="240" w:before="0" w:after="360"/>
        <w:jc w:val="center"/>
        <w:rPr/>
      </w:pPr>
      <w:r>
        <w:rPr>
          <w:rFonts w:eastAsia="Ecofont_Spranq_eco_Sans" w:cs="Arial" w:ascii="Arial" w:hAnsi="Arial"/>
          <w:b/>
          <w:bCs/>
          <w:sz w:val="20"/>
          <w:szCs w:val="20"/>
        </w:rPr>
        <w:t>ANEXO I</w:t>
      </w:r>
    </w:p>
    <w:p>
      <w:pPr>
        <w:pStyle w:val="Normal"/>
        <w:spacing w:lineRule="auto" w:line="240" w:before="0" w:after="360"/>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t xml:space="preserve"> </w:t>
      </w:r>
      <w:r>
        <w:rPr>
          <w:rFonts w:eastAsia="Times New Roman" w:cs="Times New Roman" w:ascii="Times New Roman" w:hAnsi="Times New Roman"/>
          <w:b/>
          <w:bCs/>
          <w:color w:val="000000"/>
          <w:sz w:val="22"/>
          <w:szCs w:val="22"/>
          <w:lang w:val="pt-BR" w:eastAsia="pt-BR" w:bidi="ar-SA"/>
        </w:rPr>
        <w:t>TERMO DE REFERÊNCIA</w:t>
      </w:r>
    </w:p>
    <w:p>
      <w:pPr>
        <w:pStyle w:val="Normal"/>
        <w:spacing w:lineRule="auto" w:line="240" w:before="0" w:after="0"/>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t>Sistema de Registro de Preços</w:t>
      </w:r>
    </w:p>
    <w:p>
      <w:pPr>
        <w:pStyle w:val="Normal"/>
        <w:spacing w:lineRule="auto" w:line="240" w:before="0" w:after="0"/>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t xml:space="preserve">PREGÃO ELETRÔNICO </w:t>
      </w:r>
    </w:p>
    <w:p>
      <w:pPr>
        <w:pStyle w:val="Normal"/>
        <w:spacing w:lineRule="auto" w:line="240" w:before="0" w:after="0"/>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Cs/>
          <w:iCs/>
          <w:color w:val="000000"/>
          <w:sz w:val="22"/>
          <w:szCs w:val="22"/>
          <w:lang w:val="pt-BR" w:eastAsia="pt-BR" w:bidi="ar-SA"/>
        </w:rPr>
        <w:t xml:space="preserve">   </w:t>
      </w:r>
      <w:r>
        <w:rPr>
          <w:rFonts w:eastAsia="Times New Roman" w:cs="Times New Roman" w:ascii="Times New Roman" w:hAnsi="Times New Roman"/>
          <w:b/>
          <w:bCs/>
          <w:iCs/>
          <w:color w:val="000000"/>
          <w:sz w:val="22"/>
          <w:szCs w:val="22"/>
          <w:lang w:val="pt-BR" w:eastAsia="pt-BR" w:bidi="ar-SA"/>
        </w:rPr>
        <w:t xml:space="preserve">  </w:t>
      </w:r>
      <w:r>
        <w:rPr>
          <w:rFonts w:eastAsia="Times New Roman" w:cs="Times New Roman" w:ascii="Times New Roman" w:hAnsi="Times New Roman"/>
          <w:b w:val="false"/>
          <w:bCs w:val="false"/>
          <w:iCs/>
          <w:color w:val="000000"/>
          <w:sz w:val="22"/>
          <w:szCs w:val="22"/>
          <w:lang w:val="pt-BR" w:eastAsia="pt-BR" w:bidi="ar-SA"/>
        </w:rPr>
        <w:t xml:space="preserve">  </w:t>
      </w:r>
      <w:r>
        <w:rPr>
          <w:rFonts w:eastAsia="Times New Roman" w:cs="Times New Roman" w:ascii="Times New Roman" w:hAnsi="Times New Roman"/>
          <w:b w:val="false"/>
          <w:bCs w:val="false"/>
          <w:iCs/>
          <w:color w:val="000000"/>
          <w:sz w:val="22"/>
          <w:szCs w:val="22"/>
          <w:lang w:val="pt-BR" w:eastAsia="pt-BR" w:bidi="ar-SA"/>
        </w:rPr>
        <w:t>(COMPRAS)</w:t>
      </w:r>
    </w:p>
    <w:p>
      <w:pPr>
        <w:pStyle w:val="Normal"/>
        <w:jc w:val="center"/>
        <w:rPr>
          <w:rFonts w:ascii="Times New Roman" w:hAnsi="Times New Roman" w:eastAsia="Times New Roman" w:cs="Times New Roman"/>
          <w:b/>
          <w:b/>
          <w:bCs/>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r>
    </w:p>
    <w:p>
      <w:pPr>
        <w:pStyle w:val="Normal"/>
        <w:snapToGrid w:val="false"/>
        <w:spacing w:lineRule="auto" w:line="276" w:before="0" w:after="63"/>
        <w:ind w:left="720" w:right="0" w:hanging="0"/>
        <w:jc w:val="center"/>
        <w:rPr/>
      </w:pPr>
      <w:r>
        <w:rPr>
          <w:rStyle w:val="Fontepargpadro"/>
          <w:rFonts w:eastAsia="Times New Roman" w:cs="Times New Roman" w:ascii="Times New Roman" w:hAnsi="Times New Roman"/>
          <w:b/>
          <w:bCs/>
          <w:i w:val="false"/>
          <w:iCs w:val="false"/>
          <w:color w:val="000000"/>
          <w:spacing w:val="0"/>
          <w:sz w:val="22"/>
          <w:szCs w:val="22"/>
          <w:lang w:val="pt-BR" w:eastAsia="pt-BR" w:bidi="ar-SA"/>
        </w:rPr>
        <w:t>INSTITUTO</w:t>
      </w:r>
      <w:r>
        <w:rPr>
          <w:rStyle w:val="Fontepargpadro"/>
          <w:rFonts w:eastAsia="Times New Roman" w:cs="Times New Roman" w:ascii="Times New Roman" w:hAnsi="Times New Roman"/>
          <w:b/>
          <w:bCs/>
          <w:i w:val="false"/>
          <w:iCs w:val="false"/>
          <w:color w:val="000000"/>
          <w:spacing w:val="24"/>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pacing w:val="0"/>
          <w:sz w:val="22"/>
          <w:szCs w:val="22"/>
          <w:lang w:val="pt-BR" w:eastAsia="pt-BR" w:bidi="ar-SA"/>
        </w:rPr>
        <w:t>FEDERAL</w:t>
      </w:r>
      <w:r>
        <w:rPr>
          <w:rStyle w:val="Fontepargpadro"/>
          <w:rFonts w:eastAsia="Times New Roman" w:cs="Times New Roman" w:ascii="Times New Roman" w:hAnsi="Times New Roman"/>
          <w:b/>
          <w:bCs/>
          <w:i w:val="false"/>
          <w:iCs w:val="false"/>
          <w:color w:val="000000"/>
          <w:spacing w:val="50"/>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pacing w:val="0"/>
          <w:sz w:val="22"/>
          <w:szCs w:val="22"/>
          <w:lang w:val="pt-BR" w:eastAsia="pt-BR" w:bidi="ar-SA"/>
        </w:rPr>
        <w:t>DO</w:t>
      </w:r>
      <w:r>
        <w:rPr>
          <w:rStyle w:val="Fontepargpadro"/>
          <w:rFonts w:eastAsia="Times New Roman" w:cs="Times New Roman" w:ascii="Times New Roman" w:hAnsi="Times New Roman"/>
          <w:b/>
          <w:bCs/>
          <w:i w:val="false"/>
          <w:iCs w:val="false"/>
          <w:color w:val="000000"/>
          <w:spacing w:val="49"/>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pacing w:val="0"/>
          <w:sz w:val="22"/>
          <w:szCs w:val="22"/>
          <w:lang w:val="pt-BR" w:eastAsia="pt-BR" w:bidi="ar-SA"/>
        </w:rPr>
        <w:t>SERTÃO</w:t>
      </w:r>
      <w:r>
        <w:rPr>
          <w:rStyle w:val="Fontepargpadro"/>
          <w:rFonts w:eastAsia="Times New Roman" w:cs="Times New Roman" w:ascii="Times New Roman" w:hAnsi="Times New Roman"/>
          <w:b/>
          <w:bCs/>
          <w:i w:val="false"/>
          <w:iCs w:val="false"/>
          <w:color w:val="000000"/>
          <w:spacing w:val="21"/>
          <w:w w:val="99"/>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pacing w:val="0"/>
          <w:sz w:val="22"/>
          <w:szCs w:val="22"/>
          <w:lang w:val="pt-BR" w:eastAsia="pt-BR" w:bidi="ar-SA"/>
        </w:rPr>
        <w:t>PERNAMBUCANO – REITORIA</w:t>
      </w:r>
    </w:p>
    <w:p>
      <w:pPr>
        <w:pStyle w:val="Normal"/>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t>(Processo Administrativo n.° 23600.000001.2019-17)</w:t>
      </w:r>
    </w:p>
    <w:p>
      <w:pPr>
        <w:pStyle w:val="Normal"/>
        <w:spacing w:lineRule="auto" w:line="276" w:before="0" w:after="120"/>
        <w:ind w:left="0" w:right="-15" w:hanging="0"/>
        <w:jc w:val="center"/>
        <w:rPr>
          <w:rFonts w:ascii="Times New Roman" w:hAnsi="Times New Roman" w:eastAsia="Times New Roman" w:cs="Times New Roman"/>
          <w:b/>
          <w:b/>
          <w:bCs/>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rPr>
      </w:pPr>
      <w:r>
        <w:rPr>
          <w:rFonts w:eastAsia="Times New Roman" w:cs="Times New Roman" w:ascii="Times New Roman" w:hAnsi="Times New Roman"/>
          <w:b/>
          <w:color w:val="000000"/>
          <w:sz w:val="22"/>
          <w:szCs w:val="22"/>
          <w:lang w:val="pt-BR" w:eastAsia="pt-BR" w:bidi="ar-SA"/>
        </w:rPr>
        <w:t>1. DO OBJETO</w:t>
      </w:r>
    </w:p>
    <w:p>
      <w:pPr>
        <w:pStyle w:val="Normal"/>
        <w:spacing w:lineRule="auto" w:line="276" w:before="120" w:after="120"/>
        <w:ind w:left="425" w:right="0" w:hanging="0"/>
        <w:jc w:val="both"/>
        <w:rPr>
          <w:rFonts w:ascii="Times New Roman" w:hAnsi="Times New Roman"/>
        </w:rPr>
      </w:pPr>
      <w:r>
        <w:rPr>
          <w:rFonts w:eastAsia="Times New Roman" w:cs="Times New Roman" w:ascii="Times New Roman" w:hAnsi="Times New Roman"/>
          <w:b/>
          <w:bCs/>
          <w:i w:val="false"/>
          <w:iCs w:val="false"/>
          <w:color w:val="000000"/>
          <w:sz w:val="22"/>
          <w:szCs w:val="22"/>
          <w:lang w:val="pt-BR" w:eastAsia="pt-BR" w:bidi="ar-SA"/>
        </w:rPr>
        <w:t xml:space="preserve">1.1. </w:t>
      </w:r>
      <w:bookmarkStart w:id="7" w:name="__DdeLink__193163_134665854"/>
      <w:bookmarkStart w:id="8" w:name="__DdeLink__40227_361353220"/>
      <w:r>
        <w:rPr>
          <w:rFonts w:eastAsia="Times New Roman" w:cs="Times New Roman" w:ascii="Times New Roman" w:hAnsi="Times New Roman"/>
          <w:b/>
          <w:bCs/>
          <w:i w:val="false"/>
          <w:iCs w:val="false"/>
          <w:color w:val="000000"/>
          <w:sz w:val="22"/>
          <w:szCs w:val="22"/>
          <w:lang w:val="pt-BR" w:eastAsia="pt-BR" w:bidi="ar-SA"/>
        </w:rPr>
        <w:t>Aquisição de Gêneros Alimentícios para atender aos campi e Reitoria do IF Sertão PE</w:t>
      </w:r>
      <w:bookmarkEnd w:id="8"/>
      <w:r>
        <w:rPr>
          <w:rFonts w:eastAsia="Times New Roman" w:cs="Times New Roman" w:ascii="Times New Roman" w:hAnsi="Times New Roman"/>
          <w:b/>
          <w:bCs/>
          <w:i w:val="false"/>
          <w:iCs w:val="false"/>
          <w:color w:val="000000"/>
          <w:sz w:val="22"/>
          <w:szCs w:val="22"/>
          <w:lang w:val="pt-BR" w:eastAsia="pt-BR" w:bidi="ar-SA"/>
        </w:rPr>
        <w:t>,</w:t>
      </w:r>
      <w:bookmarkEnd w:id="7"/>
      <w:r>
        <w:rPr>
          <w:rFonts w:eastAsia="Times New Roman" w:cs="Times New Roman" w:ascii="Times New Roman" w:hAnsi="Times New Roman"/>
          <w:b w:val="false"/>
          <w:bCs w:val="false"/>
          <w:i w:val="false"/>
          <w:iCs w:val="false"/>
          <w:color w:val="000000"/>
          <w:sz w:val="22"/>
          <w:szCs w:val="22"/>
          <w:lang w:val="pt-BR" w:eastAsia="pt-BR" w:bidi="ar-SA"/>
        </w:rPr>
        <w:t xml:space="preserve"> conforme condições, quantidades, exigências e estimativas, inclusive as encaminhadas pelos órgãos e entidades participantes, estabelecidas neste instrumento:</w:t>
      </w:r>
    </w:p>
    <w:p>
      <w:pPr>
        <w:pStyle w:val="Normal"/>
        <w:spacing w:lineRule="auto" w:line="276" w:before="120" w:after="120"/>
        <w:ind w:left="425"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r>
        <w:rPr>
          <w:rFonts w:eastAsia="Times New Roman" w:cs="Times New Roman" w:ascii="Times New Roman" w:hAnsi="Times New Roman"/>
          <w:b/>
          <w:bCs/>
          <w:i w:val="false"/>
          <w:iCs w:val="false"/>
          <w:color w:val="000000"/>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z w:val="22"/>
          <w:szCs w:val="22"/>
          <w:lang w:val="pt-BR" w:eastAsia="pt-BR" w:bidi="ar-SA"/>
        </w:rPr>
        <w:t>1.1.1 PLANILHA DE PREÇOS MÁXIMO ESTIMADOS PELA ADMINISTRAÇÃO:</w:t>
      </w:r>
    </w:p>
    <w:p>
      <w:pPr>
        <w:pStyle w:val="Contedodatabela"/>
        <w:tabs>
          <w:tab w:val="left" w:pos="3030" w:leader="none"/>
        </w:tabs>
        <w:spacing w:lineRule="auto" w:line="240" w:before="0" w:after="0"/>
        <w:jc w:val="center"/>
        <w:textAlignment w:val="center"/>
        <w:rPr>
          <w:rStyle w:val="Fontepargpadro"/>
          <w:rFonts w:ascii="Arial" w:hAnsi="Arial" w:eastAsia="Times New Roman" w:cs="Arial"/>
          <w:b w:val="false"/>
          <w:b w:val="false"/>
          <w:bCs w:val="false"/>
          <w:i w:val="false"/>
          <w:i w:val="false"/>
          <w:iCs w:val="false"/>
          <w:color w:val="000000"/>
          <w:sz w:val="20"/>
          <w:szCs w:val="20"/>
          <w:lang w:val="pt-BR" w:eastAsia="pt-BR" w:bidi="ar-SA"/>
        </w:rPr>
      </w:pPr>
      <w:r>
        <w:rPr>
          <w:rFonts w:eastAsia="Times New Roman" w:cs="Arial" w:ascii="Arial" w:hAnsi="Arial"/>
          <w:b w:val="false"/>
          <w:bCs w:val="false"/>
          <w:i w:val="false"/>
          <w:iCs w:val="false"/>
          <w:color w:val="000000"/>
          <w:sz w:val="20"/>
          <w:szCs w:val="20"/>
          <w:lang w:val="pt-BR" w:eastAsia="pt-BR" w:bidi="ar-SA"/>
        </w:rPr>
      </w:r>
    </w:p>
    <w:tbl>
      <w:tblPr>
        <w:tblW w:w="9874" w:type="dxa"/>
        <w:jc w:val="left"/>
        <w:tblInd w:w="-5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70"/>
        <w:gridCol w:w="1132"/>
        <w:gridCol w:w="4697"/>
        <w:gridCol w:w="861"/>
        <w:gridCol w:w="731"/>
        <w:gridCol w:w="964"/>
        <w:gridCol w:w="1018"/>
      </w:tblGrid>
      <w:tr>
        <w:trPr/>
        <w:tc>
          <w:tcPr>
            <w:tcW w:w="987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3" w:type="dxa"/>
            </w:tcMar>
          </w:tcPr>
          <w:p>
            <w:pPr>
              <w:pStyle w:val="Contedodatabela"/>
              <w:tabs>
                <w:tab w:val="left" w:pos="3030" w:leader="none"/>
              </w:tabs>
              <w:spacing w:lineRule="auto" w:line="240" w:before="0" w:after="0"/>
              <w:jc w:val="center"/>
              <w:textAlignment w:val="center"/>
              <w:rPr/>
            </w:pPr>
            <w:r>
              <w:rPr>
                <w:rStyle w:val="Fontepargpadro"/>
                <w:rFonts w:cs="Arial"/>
                <w:b/>
                <w:bCs/>
                <w:sz w:val="16"/>
                <w:szCs w:val="16"/>
              </w:rPr>
              <w:t>GRUPO 1: REITORIA – Gêneros Secos</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3" w:type="dxa"/>
            </w:tcMar>
          </w:tcPr>
          <w:p>
            <w:pPr>
              <w:pStyle w:val="Contedodatabela"/>
              <w:spacing w:before="0" w:after="0"/>
              <w:jc w:val="center"/>
              <w:rPr/>
            </w:pPr>
            <w:r>
              <w:rPr>
                <w:b/>
                <w:bCs/>
                <w:sz w:val="14"/>
                <w:szCs w:val="14"/>
              </w:rPr>
              <w:t>Nº Item</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3" w:type="dxa"/>
            </w:tcMar>
          </w:tcPr>
          <w:p>
            <w:pPr>
              <w:pStyle w:val="Contedodatabela"/>
              <w:spacing w:before="0" w:after="0"/>
              <w:jc w:val="center"/>
              <w:rPr/>
            </w:pPr>
            <w:r>
              <w:rPr>
                <w:b/>
                <w:bCs/>
                <w:sz w:val="14"/>
                <w:szCs w:val="14"/>
              </w:rPr>
              <w:t>Item</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3" w:type="dxa"/>
            </w:tcMar>
          </w:tcPr>
          <w:p>
            <w:pPr>
              <w:pStyle w:val="Contedodatabela"/>
              <w:spacing w:before="0" w:after="0"/>
              <w:jc w:val="center"/>
              <w:rPr/>
            </w:pPr>
            <w:r>
              <w:rPr>
                <w:b/>
                <w:bCs/>
                <w:sz w:val="14"/>
                <w:szCs w:val="14"/>
              </w:rPr>
              <w:t>Descrição</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3" w:type="dxa"/>
            </w:tcMar>
          </w:tcPr>
          <w:p>
            <w:pPr>
              <w:pStyle w:val="Contedodatabela"/>
              <w:spacing w:before="0" w:after="0"/>
              <w:jc w:val="center"/>
              <w:rPr/>
            </w:pPr>
            <w:r>
              <w:rPr>
                <w:b/>
                <w:bCs/>
                <w:sz w:val="14"/>
                <w:szCs w:val="14"/>
              </w:rPr>
              <w:t>Unidade</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3" w:type="dxa"/>
            </w:tcMar>
          </w:tcPr>
          <w:p>
            <w:pPr>
              <w:pStyle w:val="Contedodatabela"/>
              <w:spacing w:before="0" w:after="0"/>
              <w:jc w:val="center"/>
              <w:rPr/>
            </w:pPr>
            <w:r>
              <w:rPr>
                <w:b/>
                <w:bCs/>
                <w:sz w:val="14"/>
                <w:szCs w:val="14"/>
              </w:rPr>
              <w:t>Qtd.</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3" w:type="dxa"/>
            </w:tcMar>
          </w:tcPr>
          <w:p>
            <w:pPr>
              <w:pStyle w:val="Contedodatabela"/>
              <w:spacing w:before="0" w:after="0"/>
              <w:jc w:val="center"/>
              <w:rPr/>
            </w:pPr>
            <w:r>
              <w:rPr>
                <w:b/>
                <w:bCs/>
                <w:sz w:val="14"/>
                <w:szCs w:val="14"/>
              </w:rPr>
              <w:t>Valor Unitário Estimado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3" w:type="dxa"/>
            </w:tcMa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 Estimado</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textAlignment w:val="center"/>
              <w:rPr/>
            </w:pPr>
            <w:r>
              <w:rPr>
                <w:sz w:val="14"/>
                <w:szCs w:val="14"/>
              </w:rPr>
              <w:t>01</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Achocolatado em pó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Achocolatado em pó, 1ª qualidade. Rotulagem de acordo com a legislação. Pacote 200g.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sz w:val="14"/>
                <w:szCs w:val="14"/>
              </w:rPr>
              <w:t>Pacote</w:t>
            </w:r>
          </w:p>
          <w:p>
            <w:pPr>
              <w:pStyle w:val="Contedodatabela"/>
              <w:spacing w:before="0" w:after="0"/>
              <w:jc w:val="center"/>
              <w:rPr/>
            </w:pPr>
            <w:r>
              <w:rPr>
                <w:sz w:val="14"/>
                <w:szCs w:val="14"/>
              </w:rPr>
              <w:t>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120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2,67</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320,40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textAlignment w:val="center"/>
              <w:rPr/>
            </w:pPr>
            <w:r>
              <w:rPr>
                <w:sz w:val="14"/>
                <w:szCs w:val="14"/>
              </w:rPr>
              <w:t>02</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Achocolatado em pó diet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Achocolatado em pó diet, instantâneo, 0% de açúcar. Embalagem de polietileno atóxico, resistente, contendo no máximo 200g. Com selo de aprovação da Associação de Diabetes Juvenil. Na embalagem deverá constar o</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sz w:val="14"/>
                <w:szCs w:val="14"/>
              </w:rPr>
              <w:t>Pacote</w:t>
            </w:r>
          </w:p>
          <w:p>
            <w:pPr>
              <w:pStyle w:val="Contedodatabela"/>
              <w:spacing w:before="0" w:after="0"/>
              <w:jc w:val="center"/>
              <w:rPr/>
            </w:pPr>
            <w:r>
              <w:rPr>
                <w:sz w:val="14"/>
                <w:szCs w:val="14"/>
              </w:rPr>
              <w:t>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30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17,70</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531,00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textAlignment w:val="center"/>
              <w:rPr/>
            </w:pPr>
            <w:r>
              <w:rPr>
                <w:sz w:val="14"/>
                <w:szCs w:val="14"/>
              </w:rPr>
              <w:t>03</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Açúcar cristal (Kg)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sz w:val="14"/>
                <w:szCs w:val="14"/>
              </w:rPr>
              <w:t>Pacote</w:t>
            </w:r>
          </w:p>
          <w:p>
            <w:pPr>
              <w:pStyle w:val="Contedodatabela"/>
              <w:spacing w:before="0" w:after="0"/>
              <w:jc w:val="center"/>
              <w:rPr/>
            </w:pPr>
            <w:r>
              <w:rPr>
                <w:sz w:val="14"/>
                <w:szCs w:val="14"/>
              </w:rPr>
              <w:t>1 kg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1.200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2,59</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3.108,00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textAlignment w:val="center"/>
              <w:rPr/>
            </w:pPr>
            <w:r>
              <w:rPr>
                <w:sz w:val="14"/>
                <w:szCs w:val="14"/>
              </w:rPr>
              <w:t>04</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Adoçante (Unidade de 90 ml)</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Adoçante líquido dietético estévia Pura 90mL. Sem aspartame. Sem ciclamato. Sem Sacarina. Sem Acesulfame. Sem sucralose.</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sz w:val="14"/>
                <w:szCs w:val="14"/>
              </w:rPr>
              <w:t>Unidade</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12</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14,31</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171,72</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textAlignment w:val="center"/>
              <w:rPr/>
            </w:pPr>
            <w:r>
              <w:rPr>
                <w:sz w:val="14"/>
                <w:szCs w:val="14"/>
              </w:rPr>
              <w:t>05</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Biscoito tipo 1 (Caixa com 20 pacotes)</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Biscoito doce maisena, apresentação retangular, sem cheiro. Rotulagem de acordo com a legislação. Validade mínima de 6 meses a partir da data de entrega. Caixa c/ 20 pct de 400g.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sz w:val="14"/>
                <w:szCs w:val="14"/>
              </w:rPr>
              <w:t>Caixa c/ 20 unidades</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09</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80,75</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726,75</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textAlignment w:val="center"/>
              <w:rPr/>
            </w:pPr>
            <w:r>
              <w:rPr>
                <w:sz w:val="14"/>
                <w:szCs w:val="14"/>
              </w:rPr>
              <w:t>06</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Biscoito tipo 2 (Caixa com 20 pacotes)</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Biscoito salgado cream cracker. Rotulagem de acordo com a legislação. Validade mínima de 6 meses a partir da data de entrega. Caixa c/ 20 pct de 400g.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sz w:val="14"/>
                <w:szCs w:val="14"/>
              </w:rPr>
              <w:t>Caixa c/ 20 unidades</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09</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69,80</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628,20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textAlignment w:val="center"/>
              <w:rPr/>
            </w:pPr>
            <w:r>
              <w:rPr>
                <w:sz w:val="14"/>
                <w:szCs w:val="14"/>
              </w:rPr>
              <w:t>07</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Café moído (Pacote com 250 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sz w:val="14"/>
                <w:szCs w:val="14"/>
              </w:rPr>
              <w:t>Pacote c/</w:t>
            </w:r>
          </w:p>
          <w:p>
            <w:pPr>
              <w:pStyle w:val="Contedodatabela"/>
              <w:spacing w:before="0" w:after="0"/>
              <w:jc w:val="center"/>
              <w:rPr/>
            </w:pPr>
            <w:r>
              <w:rPr>
                <w:sz w:val="14"/>
                <w:szCs w:val="14"/>
              </w:rPr>
              <w:t>250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1.800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5,48</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9.864,00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textAlignment w:val="center"/>
              <w:rPr/>
            </w:pPr>
            <w:r>
              <w:rPr>
                <w:sz w:val="14"/>
                <w:szCs w:val="14"/>
              </w:rPr>
              <w:t>08</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Leite em pó tipo 1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sz w:val="14"/>
                <w:szCs w:val="14"/>
              </w:rPr>
              <w:t>Pacote c/ 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60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5,58</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334,80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textAlignment w:val="center"/>
              <w:rPr/>
            </w:pPr>
            <w:r>
              <w:rPr>
                <w:sz w:val="14"/>
                <w:szCs w:val="14"/>
              </w:rPr>
              <w:t>09</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Leite em pó tipo 2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sz w:val="14"/>
                <w:szCs w:val="14"/>
              </w:rPr>
              <w:t>Pacote c/ 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120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4,62</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554,40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sz w:val="14"/>
                <w:szCs w:val="14"/>
              </w:rPr>
              <w:t>10</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Goiabada (Unidade)</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both"/>
              <w:rPr/>
            </w:pPr>
            <w:r>
              <w:rPr>
                <w:sz w:val="14"/>
                <w:szCs w:val="14"/>
              </w:rPr>
              <w:t>Goiabada em massa, tipo de corte. Embalada potes plásticos resistentes, não amassados, não estufados, que garantam a integridade do produto, até o momento do consumo, contendo 400 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sz w:val="14"/>
                <w:szCs w:val="14"/>
              </w:rPr>
              <w:t>Unidade</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60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4,83</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289,80</w:t>
            </w:r>
          </w:p>
        </w:tc>
      </w:tr>
      <w:tr>
        <w:trPr/>
        <w:tc>
          <w:tcPr>
            <w:tcW w:w="8855"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jc w:val="center"/>
              <w:rPr/>
            </w:pPr>
            <w:r>
              <w:rPr>
                <w:b/>
                <w:bCs/>
                <w:sz w:val="14"/>
                <w:szCs w:val="14"/>
              </w:rPr>
              <w:t>Total em R$</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CCFF" w:val="clear"/>
            <w:tcMar>
              <w:left w:w="13" w:type="dxa"/>
            </w:tcMar>
          </w:tcPr>
          <w:p>
            <w:pPr>
              <w:pStyle w:val="Contedodatabela"/>
              <w:spacing w:before="0" w:after="0"/>
              <w:jc w:val="center"/>
              <w:rPr/>
            </w:pPr>
            <w:r>
              <w:rPr>
                <w:b/>
                <w:bCs/>
                <w:sz w:val="14"/>
                <w:szCs w:val="14"/>
              </w:rPr>
              <w:t>16.529,07</w:t>
            </w:r>
          </w:p>
        </w:tc>
      </w:tr>
      <w:tr>
        <w:trPr/>
        <w:tc>
          <w:tcPr>
            <w:tcW w:w="987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tcPr>
          <w:p>
            <w:pPr>
              <w:pStyle w:val="Contedodatabela"/>
              <w:spacing w:before="0" w:after="0"/>
              <w:rPr/>
            </w:pPr>
            <w:r>
              <w:rPr>
                <w:rStyle w:val="Fontepargpadro"/>
                <w:b/>
                <w:bCs/>
                <w:sz w:val="16"/>
                <w:szCs w:val="16"/>
              </w:rPr>
              <w:t xml:space="preserve">Local de Entrega: </w:t>
            </w:r>
            <w:r>
              <w:rPr>
                <w:rStyle w:val="Fontepargpadro"/>
                <w:sz w:val="16"/>
                <w:szCs w:val="16"/>
              </w:rPr>
              <w:t>(Sede da Reitoria)</w:t>
            </w:r>
          </w:p>
          <w:p>
            <w:pPr>
              <w:pStyle w:val="Contedodatabela"/>
              <w:spacing w:before="0" w:after="0"/>
              <w:jc w:val="left"/>
              <w:rPr/>
            </w:pPr>
            <w:r>
              <w:rPr>
                <w:iCs/>
                <w:sz w:val="16"/>
                <w:szCs w:val="16"/>
              </w:rPr>
              <w:t xml:space="preserve">Rua Aristarco Lopes, 240, Centro, Petrolina-PE. </w:t>
            </w:r>
          </w:p>
        </w:tc>
      </w:tr>
    </w:tbl>
    <w:p>
      <w:pPr>
        <w:pStyle w:val="Contedodatabela"/>
        <w:spacing w:before="0" w:after="0"/>
        <w:rPr>
          <w:rStyle w:val="Fontepargpadro"/>
          <w:rFonts w:ascii="Arial" w:hAnsi="Arial"/>
          <w:b/>
          <w:b/>
          <w:bCs/>
          <w:sz w:val="16"/>
          <w:szCs w:val="16"/>
        </w:rPr>
      </w:pPr>
      <w:r>
        <w:rPr>
          <w:rFonts w:ascii="Arial" w:hAnsi="Arial"/>
          <w:b/>
          <w:bCs/>
          <w:sz w:val="16"/>
          <w:szCs w:val="16"/>
        </w:rPr>
      </w:r>
    </w:p>
    <w:p>
      <w:pPr>
        <w:pStyle w:val="Contedodatabela"/>
        <w:spacing w:before="0" w:after="0"/>
        <w:rPr>
          <w:rStyle w:val="Fontepargpadro"/>
          <w:rFonts w:ascii="Arial" w:hAnsi="Arial"/>
          <w:sz w:val="16"/>
          <w:szCs w:val="16"/>
        </w:rPr>
      </w:pPr>
      <w:r>
        <w:rPr>
          <w:rFonts w:ascii="Arial" w:hAnsi="Arial"/>
          <w:sz w:val="16"/>
          <w:szCs w:val="16"/>
        </w:rPr>
      </w:r>
    </w:p>
    <w:p>
      <w:pPr>
        <w:pStyle w:val="Contedodatabela"/>
        <w:spacing w:before="0" w:after="0"/>
        <w:rPr>
          <w:rFonts w:ascii="Arial" w:hAnsi="Arial"/>
          <w:b/>
          <w:b/>
          <w:bCs/>
          <w:iCs/>
          <w:sz w:val="16"/>
          <w:szCs w:val="16"/>
        </w:rPr>
      </w:pPr>
      <w:r>
        <w:rPr>
          <w:rFonts w:ascii="Arial" w:hAnsi="Arial"/>
          <w:b/>
          <w:bCs/>
          <w:iCs/>
          <w:sz w:val="16"/>
          <w:szCs w:val="16"/>
        </w:rPr>
      </w:r>
    </w:p>
    <w:tbl>
      <w:tblPr>
        <w:tblW w:w="9863" w:type="dxa"/>
        <w:jc w:val="left"/>
        <w:tblInd w:w="-50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736"/>
        <w:gridCol w:w="850"/>
        <w:gridCol w:w="4701"/>
        <w:gridCol w:w="800"/>
        <w:gridCol w:w="850"/>
        <w:gridCol w:w="962"/>
        <w:gridCol w:w="1"/>
        <w:gridCol w:w="962"/>
      </w:tblGrid>
      <w:tr>
        <w:trPr/>
        <w:tc>
          <w:tcPr>
            <w:tcW w:w="98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numPr>
                <w:ilvl w:val="0"/>
                <w:numId w:val="0"/>
              </w:numPr>
              <w:spacing w:lineRule="auto" w:line="240" w:before="0" w:after="0"/>
              <w:ind w:left="720" w:hanging="0"/>
              <w:jc w:val="center"/>
              <w:textAlignment w:val="center"/>
              <w:rPr/>
            </w:pPr>
            <w:r>
              <w:rPr>
                <w:b/>
                <w:bCs/>
                <w:iCs/>
                <w:sz w:val="16"/>
                <w:szCs w:val="16"/>
              </w:rPr>
              <w:t>GRUPO 02: CAMPI PETROLINA/OURICURI/SALGUEIRO – Proteínas Animal Bovina</w:t>
            </w:r>
          </w:p>
        </w:tc>
      </w:tr>
      <w:tr>
        <w:trPr/>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Item</w:t>
            </w:r>
          </w:p>
        </w:tc>
        <w:tc>
          <w:tcPr>
            <w:tcW w:w="47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Descrição</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Qtd.</w:t>
            </w:r>
          </w:p>
        </w:tc>
        <w:tc>
          <w:tcPr>
            <w:tcW w:w="96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 Unitário</w:t>
            </w:r>
          </w:p>
        </w:tc>
        <w:tc>
          <w:tcPr>
            <w:tcW w:w="9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bovina tipo 1 (Kg)</w:t>
            </w:r>
          </w:p>
        </w:tc>
        <w:tc>
          <w:tcPr>
            <w:tcW w:w="47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7.560</w:t>
            </w:r>
          </w:p>
        </w:tc>
        <w:tc>
          <w:tcPr>
            <w:tcW w:w="96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22,38</w:t>
            </w:r>
          </w:p>
        </w:tc>
        <w:tc>
          <w:tcPr>
            <w:tcW w:w="9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169.192,80</w:t>
            </w:r>
          </w:p>
        </w:tc>
      </w:tr>
      <w:tr>
        <w:trPr/>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bovina tipo 2 (Kg)</w:t>
            </w:r>
          </w:p>
        </w:tc>
        <w:tc>
          <w:tcPr>
            <w:tcW w:w="47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40</w:t>
            </w:r>
          </w:p>
        </w:tc>
        <w:tc>
          <w:tcPr>
            <w:tcW w:w="96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20,76</w:t>
            </w:r>
          </w:p>
        </w:tc>
        <w:tc>
          <w:tcPr>
            <w:tcW w:w="9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830,40</w:t>
            </w:r>
          </w:p>
        </w:tc>
      </w:tr>
      <w:tr>
        <w:trPr/>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bovina tipo 3 (Kg)</w:t>
            </w:r>
          </w:p>
        </w:tc>
        <w:tc>
          <w:tcPr>
            <w:tcW w:w="47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3.376</w:t>
            </w:r>
          </w:p>
        </w:tc>
        <w:tc>
          <w:tcPr>
            <w:tcW w:w="96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18,98</w:t>
            </w:r>
          </w:p>
        </w:tc>
        <w:tc>
          <w:tcPr>
            <w:tcW w:w="9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64.076,48</w:t>
            </w:r>
          </w:p>
        </w:tc>
      </w:tr>
      <w:tr>
        <w:trPr/>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bovina tipo 4 (Kg)</w:t>
            </w:r>
          </w:p>
        </w:tc>
        <w:tc>
          <w:tcPr>
            <w:tcW w:w="47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de boi, MOÍDA, de primeira qualidade, PALETA.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4.850</w:t>
            </w:r>
          </w:p>
        </w:tc>
        <w:tc>
          <w:tcPr>
            <w:tcW w:w="96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18,93</w:t>
            </w:r>
          </w:p>
        </w:tc>
        <w:tc>
          <w:tcPr>
            <w:tcW w:w="9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91.810,50</w:t>
            </w:r>
          </w:p>
        </w:tc>
      </w:tr>
      <w:tr>
        <w:trPr/>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Fígado bovino (Kg)</w:t>
            </w:r>
          </w:p>
        </w:tc>
        <w:tc>
          <w:tcPr>
            <w:tcW w:w="47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2.327</w:t>
            </w:r>
          </w:p>
        </w:tc>
        <w:tc>
          <w:tcPr>
            <w:tcW w:w="96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10,01</w:t>
            </w:r>
          </w:p>
        </w:tc>
        <w:tc>
          <w:tcPr>
            <w:tcW w:w="9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23.293,27</w:t>
            </w:r>
          </w:p>
        </w:tc>
      </w:tr>
      <w:tr>
        <w:trPr/>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de charque (Kg)</w:t>
            </w:r>
          </w:p>
        </w:tc>
        <w:tc>
          <w:tcPr>
            <w:tcW w:w="47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Charque traseira, tipo seca, bovina, resfriada, de primeira qualidade. Deverá possuir registro no órgão oficial, Selo de Inspeção Municipal (S.I.M.), Selo de Inspeção Estadual (S.I.E.) ou Selo de Inspeção Federal (S.I.F.). Embalada a vácuo. Produzida, embalada, rotulada e transportada em conformidade com as normas da legislação sanitária vigente. O produto deve apresentar validade mínima de 03 meses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2.225</w:t>
            </w:r>
          </w:p>
        </w:tc>
        <w:tc>
          <w:tcPr>
            <w:tcW w:w="96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24,70</w:t>
            </w:r>
          </w:p>
        </w:tc>
        <w:tc>
          <w:tcPr>
            <w:tcW w:w="9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54.957,50</w:t>
            </w:r>
          </w:p>
        </w:tc>
      </w:tr>
      <w:tr>
        <w:trPr/>
        <w:tc>
          <w:tcPr>
            <w:tcW w:w="8899"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 xml:space="preserve">Total em R$ </w:t>
            </w:r>
          </w:p>
        </w:tc>
        <w:tc>
          <w:tcPr>
            <w:tcW w:w="96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jc w:val="center"/>
              <w:rPr/>
            </w:pPr>
            <w:r>
              <w:rPr>
                <w:b/>
                <w:bCs/>
                <w:sz w:val="14"/>
                <w:szCs w:val="14"/>
              </w:rPr>
              <w:t>404.160,95</w:t>
            </w:r>
          </w:p>
        </w:tc>
      </w:tr>
      <w:tr>
        <w:trPr/>
        <w:tc>
          <w:tcPr>
            <w:tcW w:w="98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b/>
          <w:b/>
          <w:bCs/>
          <w:iCs/>
          <w:color w:val="00000A"/>
          <w:sz w:val="16"/>
          <w:szCs w:val="16"/>
        </w:rPr>
      </w:pPr>
      <w:r>
        <w:rPr>
          <w:rFonts w:ascii="Arial" w:hAnsi="Arial"/>
          <w:b/>
          <w:bCs/>
          <w:iCs/>
          <w:color w:val="00000A"/>
          <w:sz w:val="16"/>
          <w:szCs w:val="16"/>
        </w:rPr>
      </w:r>
    </w:p>
    <w:tbl>
      <w:tblPr>
        <w:tblW w:w="9975"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numPr>
                <w:ilvl w:val="0"/>
                <w:numId w:val="0"/>
              </w:numPr>
              <w:spacing w:lineRule="auto" w:line="240" w:before="0" w:after="0"/>
              <w:ind w:left="720" w:hanging="0"/>
              <w:jc w:val="both"/>
              <w:textAlignment w:val="center"/>
              <w:rPr/>
            </w:pPr>
            <w:r>
              <w:rPr>
                <w:b/>
                <w:bCs/>
                <w:iCs/>
                <w:color w:val="00000A"/>
                <w:sz w:val="16"/>
                <w:szCs w:val="16"/>
              </w:rPr>
              <w:t>GRUPO 03: CAMPI PETROLINA/OURICURI/SALGUEIRO – Proteínas Animal Aves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Coxa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3.344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9,24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30.898,56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Filé de peito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4.558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12,02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54.787,16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Peito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minima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2.264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10,41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23.568,24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Galinha inteira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Galinha de capoeira, congelada, nova, com cheiro característico, sem limosidade. Produzida, embalada, rotulada e transportada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4.272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9,21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39.345,12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Sobrecoxa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bookmarkStart w:id="9" w:name="__DdeLink__35109_649158223"/>
            <w:bookmarkEnd w:id="9"/>
            <w:r>
              <w:rPr>
                <w:sz w:val="14"/>
                <w:szCs w:val="14"/>
              </w:rPr>
              <w:t>Sobrecoxas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6.663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10,12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67.429,56</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Total em R$</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jc w:val="center"/>
              <w:rPr/>
            </w:pPr>
            <w:r>
              <w:rPr>
                <w:b/>
                <w:bCs/>
                <w:sz w:val="14"/>
                <w:szCs w:val="14"/>
              </w:rPr>
              <w:t>216.028,64</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Contedodatabela"/>
        <w:numPr>
          <w:ilvl w:val="0"/>
          <w:numId w:val="0"/>
        </w:numPr>
        <w:spacing w:lineRule="auto" w:line="240" w:before="0" w:after="0"/>
        <w:ind w:left="720" w:hanging="0"/>
        <w:jc w:val="center"/>
        <w:textAlignment w:val="center"/>
        <w:rPr>
          <w:b/>
          <w:b/>
          <w:bCs/>
        </w:rPr>
      </w:pPr>
      <w:r>
        <w:rPr>
          <w:b/>
          <w:bCs/>
        </w:rPr>
      </w:r>
    </w:p>
    <w:p>
      <w:pPr>
        <w:pStyle w:val="Contedodatabela"/>
        <w:numPr>
          <w:ilvl w:val="0"/>
          <w:numId w:val="0"/>
        </w:numPr>
        <w:spacing w:lineRule="auto" w:line="240" w:before="0" w:after="0"/>
        <w:ind w:left="720" w:hanging="0"/>
        <w:jc w:val="center"/>
        <w:textAlignment w:val="center"/>
        <w:rPr>
          <w:b/>
          <w:b/>
          <w:bCs/>
        </w:rPr>
      </w:pPr>
      <w:r>
        <w:rPr>
          <w:b/>
          <w:bCs/>
        </w:rPr>
      </w:r>
    </w:p>
    <w:tbl>
      <w:tblPr>
        <w:tblW w:w="9975"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04: CAMPI PETROLINA/OURICURI/SALGUEIRO – Proteínas Animal Suína, Caprina e Peixes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caprina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caprina magra, LOMBO. Resfriada. Peças devidamente embaladas. Aspecto próprio da carne, não pegajosa, cor própria da carne, sem manchas esverdeadas ou pardas, cheiro próprio .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28,78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287,80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caprina/ovina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CAPRINA/OVINA, de primeira qualidade. Corte Inteiro. Resfriada, limpa, não pegajosa, cor própria da carne, sem manchas esverdeadas ou pardas e cheiro característico do produto.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3.360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21,19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71.198,40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Filé de peixe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4.508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23,68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106.749,44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Filé de peixe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33,12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1.821,60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Lombo suíno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Lombo Suíno, congelado. Produzido, embalado, rotulado e transportado em conformidade com as normas da legislação sanitária vigente. Deverá possuir registro no órgão oficial, Selo de Inspeção Estadual (S.I.E.) ou Selo de Inspeção Federal (S.I.F.). O produto dever apresentar validade mínima de 03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1.844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17,95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33.099,80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Paleta suína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Paleta Suína, com pele e sem osso, congelada. Produzida, embalada, rotulada e transportada em conformidade com as normas da legislação sanitária vigente. Deverá possuir registro no órgão oficial, Selo de Inspeção Estadual (S.I.E.) ou Selo de Inspeção Federal (S.I.F.). O produto deverá apresentar validade mínima de 03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14,21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994,70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Pernil suíno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Pernil Suíno com pele e sem osso.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3.376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14,50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48.952,00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Costela suína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Costela suína defumada. Produzida, embalada, rotulada e transportada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1.535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rFonts w:ascii="Arial" w:hAnsi="Arial"/>
                <w:b/>
                <w:b/>
                <w:bCs/>
                <w:sz w:val="14"/>
                <w:szCs w:val="14"/>
              </w:rPr>
            </w:pPr>
            <w:r>
              <w:rPr>
                <w:rFonts w:ascii="Arial" w:hAnsi="Arial"/>
                <w:b/>
                <w:bCs/>
                <w:sz w:val="14"/>
                <w:szCs w:val="14"/>
              </w:rPr>
            </w:r>
          </w:p>
          <w:p>
            <w:pPr>
              <w:pStyle w:val="Contedodatabela"/>
              <w:jc w:val="center"/>
              <w:rPr/>
            </w:pPr>
            <w:r>
              <w:rPr>
                <w:b/>
                <w:bCs/>
                <w:sz w:val="14"/>
                <w:szCs w:val="14"/>
              </w:rPr>
              <w:t>18,07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rFonts w:ascii="Arial" w:hAnsi="Arial"/>
                <w:b/>
                <w:b/>
                <w:bCs/>
                <w:sz w:val="14"/>
                <w:szCs w:val="14"/>
              </w:rPr>
            </w:pPr>
            <w:r>
              <w:rPr>
                <w:rFonts w:ascii="Arial" w:hAnsi="Arial"/>
                <w:b/>
                <w:bCs/>
                <w:sz w:val="14"/>
                <w:szCs w:val="14"/>
              </w:rPr>
            </w:r>
          </w:p>
          <w:p>
            <w:pPr>
              <w:pStyle w:val="Contedodatabela"/>
              <w:jc w:val="center"/>
              <w:rPr/>
            </w:pPr>
            <w:r>
              <w:rPr>
                <w:b/>
                <w:bCs/>
                <w:sz w:val="14"/>
                <w:szCs w:val="14"/>
              </w:rPr>
              <w:t>27.737,45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Bacon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Bacon defumado.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19,00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3.534,00</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Total em R$</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jc w:val="center"/>
              <w:rPr/>
            </w:pPr>
            <w:r>
              <w:rPr>
                <w:b/>
                <w:bCs/>
                <w:sz w:val="14"/>
                <w:szCs w:val="14"/>
              </w:rPr>
              <w:t>294.375,19</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b/>
          <w:b/>
          <w:bCs/>
        </w:rPr>
      </w:pPr>
      <w:r>
        <w:rPr>
          <w:b/>
          <w:bCs/>
        </w:rPr>
      </w:r>
    </w:p>
    <w:tbl>
      <w:tblPr>
        <w:tblW w:w="9975"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05: CAMPI PETROLINA/OURICURI/SALGUEIRO – Derivados de Leite e Ovos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Iogurte tipo 1 (Pote com 170g)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3,19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63,80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Iogurte tipo 2 (Garrafa com 900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7,14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357,00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Manteiga (Balde com 05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158,96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20.982,72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Manteiga sem sal (Unidade 200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Manteiga de primeira qualidade sem sal. Validade mínima de 6 meses a partir da data de entrega. Embalagem de 200g, com dados de identificação na embalagem</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11,07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321,03</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Margarina tipo 1 (Balde com 15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Margarina. Balde com 15 Kg. Margarina vegetal com sal com 50% de lipídeos, de primeira qualidade, livre de oxidação (ranço), nova, homogênea. Produzidas, embaladas, rotuladas e transportadas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 Balde com 15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109,50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5.037,00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Margarina tipo 2 (Pote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Margarina cremosa sem sal – 0% de gorduras trans. Contendo no mínimo 65% de lipídios. Embalagem em pote plástico de polietileno leitoso de alta densidade contendo 500g. Validade mínima de 6 meses a contar a partir da data de entrega. Na embalagem deverá constar o nome e marca do produto, data de fabricação, prazo de validade, número do lote e tabela de informação nutricional.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7,23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1.113,42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Margarina tipo 3 (Balde com 15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MARGARINA. BALDE COM 15 Kg. Margarina vegetal com sal com 80% de lipídeos, de primeira qualidade, livre de oxidação (ranço) e homogênea.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116,75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233,50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Queijo coalho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Queijo coalho - de 1ª qualidade, com leite pasteurizado, embalagem original a vácuo, em saco plástico transparente, atóxico, limpo, não violado, resistente. Deverá possuir registro no órgão oficial, Selo de Inspeção Municipal (S.I.M.), Selo de Inspeção Estadual (S.I.E.) ou Selo de Inspeção Federal (S.I.F.). O produto deverá apresentar validade mínima de 02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30,12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45.420,96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Queijo muçarela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27,53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49.884,36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Ovos (Bandeja com 30 unidades)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13,68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7.004,16</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jc w:val="center"/>
              <w:rPr/>
            </w:pPr>
            <w:r>
              <w:rPr>
                <w:b/>
                <w:bCs/>
                <w:sz w:val="14"/>
                <w:szCs w:val="14"/>
              </w:rPr>
              <w:t>130.417,95</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b/>
          <w:b/>
          <w:bCs/>
          <w:sz w:val="16"/>
          <w:szCs w:val="16"/>
        </w:rPr>
      </w:pPr>
      <w:r>
        <w:rPr>
          <w:rFonts w:ascii="Arial" w:hAnsi="Arial"/>
          <w:b/>
          <w:bCs/>
          <w:sz w:val="16"/>
          <w:szCs w:val="16"/>
        </w:rPr>
      </w:r>
    </w:p>
    <w:tbl>
      <w:tblPr>
        <w:tblW w:w="9975"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06: CAMPI PETROLINA/OURICURI/SALGUEIRO – Frios e Embutidos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Linguiça calabresa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1506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18,19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27.394,14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Linguiça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748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12,14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9.080,72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Linguiça suína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Linguiça suína.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748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12,45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9.312,60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Mortadela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528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9,33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4.926,24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Presunto cozido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3007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24,16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72.649,12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Salsicha (Embalagem com 3kg)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Salsicha hot dog resfriada de frango. Validade mínima de 6 meses a partir da data de entrega no campus solicitante. Embalagem de 3kg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Embalagem 03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27,56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137,80</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jc w:val="center"/>
              <w:rPr/>
            </w:pPr>
            <w:r>
              <w:rPr>
                <w:b/>
                <w:bCs/>
                <w:sz w:val="14"/>
                <w:szCs w:val="14"/>
              </w:rPr>
              <w:t>123.500,62</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Contedodatabela"/>
        <w:numPr>
          <w:ilvl w:val="0"/>
          <w:numId w:val="0"/>
        </w:numPr>
        <w:spacing w:lineRule="auto" w:line="240" w:before="0" w:after="0"/>
        <w:ind w:left="720" w:hanging="0"/>
        <w:jc w:val="center"/>
        <w:textAlignment w:val="center"/>
        <w:rPr>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center"/>
        <w:textAlignment w:val="center"/>
        <w:rPr>
          <w:rFonts w:ascii="Arial" w:hAnsi="Arial"/>
          <w:b/>
          <w:b/>
          <w:bCs/>
          <w:sz w:val="16"/>
          <w:szCs w:val="16"/>
        </w:rPr>
      </w:pPr>
      <w:r>
        <w:rPr>
          <w:rFonts w:ascii="Arial" w:hAnsi="Arial"/>
          <w:b/>
          <w:bCs/>
          <w:sz w:val="16"/>
          <w:szCs w:val="16"/>
        </w:rPr>
      </w:r>
    </w:p>
    <w:tbl>
      <w:tblPr>
        <w:tblW w:w="9975"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07: CAMPI PETROLINA/OURICURI/SALGUEIRO – Cereais e Farináceos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Amido de milho (Caixa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7,26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1.263,24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Arroz integral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Arroz INTEGRAL – 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06 meses a contar a partir da data de entrega.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4,38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5.781,60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Arroz parboilizado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5984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18.490,56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Arroz polido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Arroz POLIDO - agulhinha tipo 1, polido, longo fino, com laudo de classificação constando umidade máxima de 14% e quebrados até 9,5%. Embalagem de polietileno, atóxico, transparente, resistente e validade mínima de 06 meses a partir da data da entrega. Na embalagem deverá constar o nome e marca do produto, data de fabricação, prazo de validade, número do lote e tabela de informações nutricionais.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1197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3,45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4.129,65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Arroz vermelho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Arroz VERMELHO, limpo, longo, grãos inteiros, com teor de umidade máxima de 15%; isento de sujidades e materiais estranhos; acondicionado em saco plástico, validade mínima de 06 meses a contar da data da entrega,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6,30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63,00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Aveia (Caixa com 170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Aveia em flocos finos. A embalagem interna deverá ser em pacotes plásticos transparentes,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170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618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4,15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2.564,70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Farinha de mandioca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Farinha de Mandioca fina, branca, tipo 1. Industrializada. Rotulagem de acordo com a legislação. Data de validade mínima de 3 meses a contar da data de entrega do produto.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4,25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42,50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Farinha de rosca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Farinha de rosca industrializada, 1ª qualidade. Rotulagem de acordo com a legislação. Data de validade mínima de 2 meses a contar da data de entrega do produto. Pacote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6,89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564,98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Farinha de trigo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Farinha de trigo tradicional, sem fermento, tipo 1. Enriquecida com ferro e ácido fólico. Deverá apresentar validade mínima de 3 meses a partir da data de entrega.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4,00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360,00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Farinha de trigo tipo 2 (50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Farinha de trigo especial, sem fermento, tipo 1, para produção de pães. Deverá apresentar validade mínima de 03 meses a partir da data de entrega. Saco com 50kg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Saco 50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149,35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298,70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Farinha de milho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8996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15.383,16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Milho para munguzá tipo 1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3,58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8.570,52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Milho para munguzá tipo 2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Canjica de milho branco – Milho, de cor branca, grupo especial, despeliculado, tipo 1, para preparo do Munguzá doce (Canjica),grãos sem mofo, embalagem plástica, resistente, sem perfurações, validade mínima de 4 meses a partir da data de entrega à unidade requisitante. Rotulagem em conformidade à legislação vigente. Pacote com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4,07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9.743,58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Mistura para preparo de canjiquinha (Pacote com 400g)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Mistura para preparo de Canjiquinha / curau. Preparo rápido. Embalada em sacos de poliéster metalizados. Rotulagem em conformidade à legislação vigente. Prazo de validade mínimo 02 meses a contar a partir da data de entrega . Pacote com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400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429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7,13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3.058,77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Mistura para preparo de canjiquinha DIET (Pacote com 130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Mistura para preparo de Canjiquinha / curau , para dietas com ingestão controlada de açúcares. Preparo rápido. SEM ADIÇÃO DE AÇÚCARES. DIET. Embalada em sacos de poliéster metalizados. Prazo de validade mínimo 02 meses a contar a partir da data de entrega. Rotulagem em conformidade à legislação vigente. Pacote com 130g.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130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5,58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725,40</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jc w:val="center"/>
              <w:rPr/>
            </w:pPr>
            <w:r>
              <w:rPr>
                <w:b/>
                <w:bCs/>
                <w:sz w:val="14"/>
                <w:szCs w:val="14"/>
              </w:rPr>
              <w:t>71.040,36</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Contedodatabela"/>
        <w:spacing w:lineRule="auto" w:line="240" w:before="0" w:after="0"/>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both"/>
        <w:textAlignment w:val="center"/>
        <w:rPr>
          <w:rFonts w:ascii="Arial" w:hAnsi="Arial"/>
          <w:b/>
          <w:b/>
          <w:bCs/>
          <w:iCs/>
          <w:color w:val="00000A"/>
          <w:sz w:val="16"/>
          <w:szCs w:val="16"/>
        </w:rPr>
      </w:pPr>
      <w:r>
        <w:rPr>
          <w:rFonts w:ascii="Arial" w:hAnsi="Arial"/>
          <w:b/>
          <w:bCs/>
          <w:iCs/>
          <w:color w:val="00000A"/>
          <w:sz w:val="16"/>
          <w:szCs w:val="16"/>
        </w:rPr>
      </w:r>
    </w:p>
    <w:tbl>
      <w:tblPr>
        <w:tblW w:w="9975"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numPr>
                <w:ilvl w:val="0"/>
                <w:numId w:val="0"/>
              </w:numPr>
              <w:spacing w:lineRule="auto" w:line="240" w:before="0" w:after="0"/>
              <w:ind w:left="720" w:hanging="0"/>
              <w:jc w:val="both"/>
              <w:textAlignment w:val="center"/>
              <w:rPr/>
            </w:pPr>
            <w:r>
              <w:rPr>
                <w:b/>
                <w:bCs/>
                <w:iCs/>
                <w:color w:val="00000A"/>
                <w:sz w:val="16"/>
                <w:szCs w:val="16"/>
              </w:rPr>
              <w:t>GRUPO 08: CAMPI PETROLINA/OURICURI/SALGUEIRO – Leguminosas e Oleaginosas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Amendoim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Amendoim cru, ao natural, com cascas íntegras, sem partes amolecidas. Rotulagem de acordo com a legislação. Pacote com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675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9,05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6.108,75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63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Castanha de caju (Pacote com 100g)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Sem casca ou lascas de cascas aderidas, inteira, sem sal, sem sujeiras, sem mofos, sem pontos de podridão, rígida, da melhor qualidade. Produzida, embalada e entregue conforme a legislação sanitária vigente. Validade mínima de 6 meses a contar da data de recebimento. Pacote com 100g.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10,85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3.189,90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64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Ervilha em conserva (Pacote com 2kg)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Ervilha em conserva, grãos inteiros, líquido translúcido, livre de impurezas. Validade mínima de 6 meses a partir da data de entrega. Pacote com 2kg.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19,41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776,40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65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Feijão carioca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1795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4,15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7.449,25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66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Feijão de corda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Feijão de corda / fradinho / macáçar, tipo 1, limpo. Industrializado. Rotulagem em conformidade à legislação vigente. Deverá apresentar validade mínima de 04 meses a partir da data de entrega. Embalagem com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1800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6,05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10.890,00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67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Feijão preto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Feijão preto tipo 1, industrializado. Rotulagem em conformidade à legislação vigente. Deverá apresentar validade mínima de 04 meses a partir da data de entrega à unidade requisitante. Embalagem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6,14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5.513,72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68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Milho em conserva tipo 1 (Unidade com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Lata 2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16,01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4.546,84</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jc w:val="center"/>
              <w:rPr/>
            </w:pPr>
            <w:r>
              <w:rPr>
                <w:b/>
                <w:bCs/>
                <w:sz w:val="14"/>
                <w:szCs w:val="14"/>
              </w:rPr>
              <w:t>38.474,86</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both"/>
        <w:textAlignment w:val="center"/>
        <w:rPr>
          <w:rFonts w:ascii="Arial" w:hAnsi="Arial"/>
          <w:b/>
          <w:b/>
          <w:bCs/>
          <w:iCs/>
          <w:color w:val="00000A"/>
          <w:sz w:val="16"/>
          <w:szCs w:val="16"/>
          <w:highlight w:val="magenta"/>
        </w:rPr>
      </w:pPr>
      <w:r>
        <w:rPr>
          <w:rFonts w:ascii="Arial" w:hAnsi="Arial"/>
          <w:b/>
          <w:bCs/>
          <w:iCs/>
          <w:color w:val="00000A"/>
          <w:sz w:val="16"/>
          <w:szCs w:val="16"/>
          <w:highlight w:val="magenta"/>
        </w:rPr>
      </w:r>
    </w:p>
    <w:tbl>
      <w:tblPr>
        <w:tblW w:w="9975"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lineRule="auto" w:line="240" w:before="0" w:after="0"/>
              <w:jc w:val="both"/>
              <w:textAlignment w:val="center"/>
              <w:rPr/>
            </w:pPr>
            <w:r>
              <w:rPr>
                <w:b/>
                <w:bCs/>
                <w:iCs/>
                <w:color w:val="00000A"/>
                <w:sz w:val="16"/>
                <w:szCs w:val="16"/>
              </w:rPr>
              <w:t xml:space="preserve">GRUPO 09: CAMPI PETROLINA/OURICURI/SALGUEIRO – Massas Alimentícias, Macarrão e Biscoitos </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69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Biscoito tipo 1 (Caixa com 20 pacotes)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Biscoito doce maisena, apresentação retangular, sem cheiro. Rotulagem de acordo com a legislação. Validade mínima de 6 meses a partir da data de entrega. Caixa c/ 20 pct de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com 20 pacotes</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335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b/>
                <w:bCs/>
                <w:sz w:val="14"/>
                <w:szCs w:val="14"/>
              </w:rPr>
              <w:t>80,75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27.051,25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70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Biscoito tipo 2 (Caixa com 20 pacotes)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Biscoito salgado cream cracker. Rotulagem de acordo com a legislação. Validade mínima de 6 meses a partir da data de entrega. Caixa c/ 20 pct de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com 20 pacotes</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332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b/>
                <w:bCs/>
                <w:sz w:val="14"/>
                <w:szCs w:val="14"/>
              </w:rPr>
              <w:t>69,80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23.173,60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71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Biscoito tipo 3 (Caixa com 20 pacotes)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Biscoito Integral tipo cream Cracker , com validade de 2 anos a partir da data de entrega, livre de fungos, sem unidades quebradas, embalagem integra, de boa qualidade. Caixa c/ 20 pct de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com 20 pacotes</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85,95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7.391,70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72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tipo 1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fino. tipo espaguete. SEM OVOS, de 1ª qualidade, íntegro. Rotulagem de acordo com a legislação vigente. Deverá apresentar validade mínima de 10 meses a partir da data de entrega à unidade requisitante.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4189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10.137,38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73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tipo 2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espaguete INTEGRAL. Ingredientes: farinha de trigo integral enriquecida com ferro e ácido fólico e corante natural de urucum e cúrcuma. SEM OVOS, DE 1ª QUALIDADE. Embalagem: plástica, transparente, resistente, bem vedada, isento de qualquer substância estranha ou nociva. Prazo de validade mínimo 06 meses a contar a partir da data de entrega.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p>
            <w:pPr>
              <w:pStyle w:val="Contedodatabela"/>
              <w:jc w:val="center"/>
              <w:rPr>
                <w:rFonts w:ascii="Arial" w:hAnsi="Arial"/>
                <w:b/>
                <w:b/>
                <w:bCs/>
                <w:sz w:val="14"/>
                <w:szCs w:val="14"/>
              </w:rPr>
            </w:pPr>
            <w:r>
              <w:rPr>
                <w:rFonts w:ascii="Arial" w:hAnsi="Arial"/>
                <w:b/>
                <w:bCs/>
                <w:sz w:val="14"/>
                <w:szCs w:val="14"/>
              </w:rPr>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3,54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2.959,44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74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tipo 3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curto com ovos, tipo parafuso, submetido a processo de secagem, acondicionado em embalagens apropriadas. Rotulagem conforme legislação vigente. Prazo de validade mínimo 06 meses a contar a partir da data de entrega.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4189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3,70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15.499,30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75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tipo 4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curto, INTEGRAL, com ovos, tipo parafuso, submetido a processo de secagem, acondicionado em embalagens apropriadas. Prazo de validade mínimo 06 meses a contar a partir da data de entrega. Rotulagem conforme legislação vigente.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4,94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4.129,84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76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tipo 5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tipo Penne. Massa com ovos, pacote de 500g. Padrão superior. Prazo de validade mínimo 06 meses a contar a partir da data de entrega. Rotulagem conforme legislação vigente.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4,62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9.674,28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77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tipo 6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tipo Penne. Massa integral, pacote de 500g. Padrão superior. Prazo de validade mínimo 06 meses a contar a partir da data de entrega. Rotulagem conforme legislação vigente.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5,68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4.748,48</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Total em R$</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jc w:val="center"/>
              <w:rPr/>
            </w:pPr>
            <w:r>
              <w:rPr>
                <w:b/>
                <w:bCs/>
                <w:sz w:val="14"/>
                <w:szCs w:val="14"/>
              </w:rPr>
              <w:t>104.765,27</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rFonts w:ascii="Arial" w:hAnsi="Arial"/>
          <w:b/>
          <w:b/>
          <w:bCs/>
          <w:sz w:val="16"/>
          <w:szCs w:val="16"/>
        </w:rPr>
      </w:pPr>
      <w:r>
        <w:rPr>
          <w:rFonts w:ascii="Arial" w:hAnsi="Arial"/>
          <w:b/>
          <w:bCs/>
          <w:sz w:val="16"/>
          <w:szCs w:val="16"/>
        </w:rPr>
      </w:r>
    </w:p>
    <w:tbl>
      <w:tblPr>
        <w:tblW w:w="9975"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10: CAMPI PETROLINA/OURICURI/SALGUEIRO – Condimentos, Temperos e Molhos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78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Açafrão da terra/ Cúrcuma (Pacote com 50g)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Açafrão da terra, em pó de cor amarela ou avermelhada. Pó isento de impurezas e umidade. Acondicionado em embalagem 50g, integra, atóxica, resistente, vedada hermeticamente e limpa. Livre de sujidades e contaminantes. Rotulagem conforme legislação. Data de validade mínima de 6 meses a contar da data de entrega do produto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4,59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1.023,57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79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Canela em pó (Pote com 35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Canela em pó, fina, nova, sem sujidades, com cheiro característico. Deverá apresentar validade mínima de 12 meses a partir da data de entrega à unidade requisitante. Rotulagem de acordo com a legislação. Potes com 35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35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1292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3,12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4.031,04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80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Colorau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5,38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597,18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81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Cominho em pó (Pacote com 30g)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30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352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718,08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82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Cravo (Pacote com 40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Cravo da índia, com aplicação em culinária, isento de materiais estranhos a sua espécie, acondicionado em saco plástico transparente atóxico, resistente e hermeticamente vedado. Rotulagem de acordo com a legislação. Data de validade mínima de 6 meses a contar da data de entrega do produto. Pacote 40g.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40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8,65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787,15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Extrato de tomate (Pacote com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354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12,74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4.509,96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Louro em folhas (Pacote com 5g)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Condimento em folhas desidratadas. Validade mínima de 6 meses a partir da data de entrega . Pacote com 5 gramas.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671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1,94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1.301,74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Maionese (Unidade com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Maionese industrializada a base de leite, marca nacionalmente conhecida. Rotulagem de acordo com a legislação vigente. Deverá apresentar validade mínima de 6 meses a partir da data de entrega à unidade requisitante. Embalagem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8,78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667,28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Manjericão (Pacote com 7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Manjericão desidratado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7g.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7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1,96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462,56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87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Molho de soja (Garrafa com 1 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Molho de Soja/Shoyu. Sem glutamato monossódico. Rotulagem de acordo com a legislação. Validade mínima de 12 meses a partir da data de entrega à unidade requisitante. Garrafa de 1L.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Garrafa 1 litro</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14,29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2.515,04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88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Orégano (Pacote com 200g)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149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17,59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2.620,91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89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Pimenta do reino (Pacote com 15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Pimenta do reino em pó, pura,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com 15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15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913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3,29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3.003,77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Sal de cozinha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Sal de cozinha, moído, branco, de 1ª qualidade, tratamento diferenciado: iodado. Rotulagem de acordo com a legislação vigente. Deverá conter validade mínima de 01 ano a partir da data da entrega à unidade requisitante.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0,82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241,08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Salsa desidratada (Pacote com 250g)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Salsa desidratada,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 250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250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193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8,56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1.652,08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Vinagre (Garrafa com 500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Garrafa 500 ml</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4,02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3.738,60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Cebola em pó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Cebola em pó pura (100% cebola). Embalagem com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41,17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82,34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Alho em pó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Alho em pó puro (100% alho). Embalagem com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42,30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84,60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Condimento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Condimento calabresa. Condimento para aplicação em linguiça calabresa e outros embutidos. Composição principal: Sal, aromas naturais e especiarias. Deve ter validade mínima de 10 meses a contar da data da entrega. Embalagens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28,88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57,76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Condimento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Condimento califórnia. Condimento preparado para presunto, com especiarias e sal. Aplicação em presuntos. Embalagem com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24,47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48,94</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jc w:val="center"/>
              <w:rPr/>
            </w:pPr>
            <w:r>
              <w:rPr>
                <w:b/>
                <w:bCs/>
                <w:sz w:val="14"/>
                <w:szCs w:val="14"/>
              </w:rPr>
              <w:t>28.143,68</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Contedodatabela"/>
        <w:spacing w:lineRule="auto" w:line="240" w:before="0" w:after="0"/>
        <w:rPr>
          <w:rFonts w:ascii="Arial" w:hAnsi="Arial"/>
          <w:b/>
          <w:b/>
          <w:bCs/>
          <w:sz w:val="16"/>
          <w:szCs w:val="16"/>
        </w:rPr>
      </w:pPr>
      <w:r>
        <w:rPr>
          <w:rFonts w:ascii="Arial" w:hAnsi="Arial"/>
          <w:b/>
          <w:bCs/>
          <w:sz w:val="16"/>
          <w:szCs w:val="16"/>
        </w:rPr>
      </w:r>
    </w:p>
    <w:tbl>
      <w:tblPr>
        <w:tblW w:w="9978"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399"/>
        <w:gridCol w:w="961"/>
        <w:gridCol w:w="4368"/>
        <w:gridCol w:w="1075"/>
        <w:gridCol w:w="847"/>
        <w:gridCol w:w="1139"/>
        <w:gridCol w:w="1"/>
        <w:gridCol w:w="1187"/>
      </w:tblGrid>
      <w:tr>
        <w:trPr/>
        <w:tc>
          <w:tcPr>
            <w:tcW w:w="9977"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11: CAMPI PETROLINA/OURICURI/SALGUEIRO – Gêneros Secos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Nº Item</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Descrição</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Unidade</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Qtd.</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 Unitário</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97</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Achocolatado em pó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Achocolatado em pó, 1ª qualidade. Rotulagem de acordo com a legislação. Pacote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1000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b/>
                <w:bCs/>
                <w:sz w:val="14"/>
                <w:szCs w:val="14"/>
              </w:rPr>
              <w:t>2,67</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2.670,00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98</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Achocolatado em pó diet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470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b/>
                <w:bCs/>
                <w:sz w:val="14"/>
                <w:szCs w:val="14"/>
              </w:rPr>
              <w:t>17,70</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8.319,00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99</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6284</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b/>
                <w:bCs/>
                <w:sz w:val="14"/>
                <w:szCs w:val="14"/>
              </w:rPr>
              <w:t>2,59</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16.275,56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100</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184</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4,50</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828,00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101</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Adoçante (Unidade de 90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Adoçante líquido dietético estévia Pura 90mL. Sem aspartame. Sem ciclamato. Sem Sacarina. Sem Acesulfame. Sem sucralose.</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90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89</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b/>
                <w:bCs/>
                <w:sz w:val="14"/>
                <w:szCs w:val="14"/>
              </w:rPr>
              <w:t>14,31</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1.273,59</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102</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Atum em conserva (Lata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Atum ralado, conservado em óleo vegetal comestível. Rotulagem de acordo com a legislação. Validade mínima de 12 meses a contar a partir da data de entrega à unidade requisitante. Lata c/ 170g.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170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570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6,39</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3.642,30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103</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Azeite de oliva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Azeite de oliva extra virgem, com dispositivo que permita seu fechamento após abertura da embalagem. Nível de acidez 0,5%. Rotulagem em conformidade à legislação vigente. Deverá apresentar validade mínima de 12 meses a partir da data de entrega à unidade requisitante. Garrafa com 500mL.</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Garrafa 500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313</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21,02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6.579,26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104</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Azeitonas (Balde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Azeitonas verdes em conserva. Rotulagem de acordo com a legislação. Balde c/ 2kg.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2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36,74</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955,24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105</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Batata palha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Batata palha, fina, sequinha e crocante.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químicas ou biológicas que coloquem em risco a saúde do consumidor. Ausência de sujidades, parasitas e larvas. Embalagem conforme legislação vigente. O produto deve ser isento de corantes. Pacote com 500 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762</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15,68</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11.948,16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106</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Cacau em pó (Caixa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Cacau em pó solúvel – 100% Cacau. Produto sem adição de açúcar e sem sódio. Embalagem interna de papel e externa de caixa. Rotulagem em conformidade à legislação vigente. Validade mínima de 6 meses a partir da data de entrega. Caixa com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54</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17,27</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932,58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107</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250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3666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b/>
                <w:bCs/>
                <w:sz w:val="14"/>
                <w:szCs w:val="14"/>
              </w:rPr>
              <w:t>5,48</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21.185,68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108</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Coco ralado (Pacote com 100g)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800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4,65</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3.720,00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109</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Creme de leite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Creme de leite, 1ª qualidade. Com S.I.F. Data de validade mínima de 3 meses a contar da data de entrega do produto. Rotulagem em conformidade à legislação. Caixa com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749</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2.261,98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110</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Leite condensado (Embalagem com 395g)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Leite Condensado, acondicionado em embalagem Tetra pack, 1ª qualidade. O produto deverá ter validade mínima de 6 meses a partir da data de entrega. Embalagem de 395g.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395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1155</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4,62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5.336,10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111</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Leite de coco (Unidade com 200ml)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Leite de coco. Rotulagem em conformidade à legislação vigente. Deverá apresentar validade mínima de 12 meses a partir da data de entrega à unidade requisitante. Embalagem de 200ml.</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200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558</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3,59</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2.003,22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112</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Leite em pó tipo 1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1686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b/>
                <w:bCs/>
                <w:sz w:val="14"/>
                <w:szCs w:val="14"/>
              </w:rPr>
              <w:t>5,58</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9.407,88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113</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Leite em pó tipo 2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7032</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b/>
                <w:bCs/>
                <w:sz w:val="14"/>
                <w:szCs w:val="14"/>
              </w:rPr>
              <w:t>4,62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32.487,84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114</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Leite líquido (Caixa com 1 litro)</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Leite líquido semidesnatado, SEM LACTOSE. Rotulagem em conformidade à legislação vigente, com S.I.F. O produto deverá ter validade mínima de 06 meses a partir da data de entrega. Embalagem tipo tetra pack, de 1 litro.</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1 litro</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1995</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4,66</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9.296,70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115</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Goiabada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 xml:space="preserve">Goiabada em massa, tipo de corte. Embalada potes plásticos </w:t>
            </w:r>
            <w:bookmarkStart w:id="10" w:name="__DdeLink__45359_590080181"/>
            <w:bookmarkEnd w:id="10"/>
            <w:r>
              <w:rPr>
                <w:sz w:val="14"/>
                <w:szCs w:val="14"/>
              </w:rPr>
              <w:t>resistentes, não amassados, não estufados, que garantam a integridade do produto, até o momento do consumo, contendo 400g,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400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533</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b/>
                <w:bCs/>
                <w:sz w:val="14"/>
                <w:szCs w:val="14"/>
              </w:rPr>
              <w:t>4,83</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2.574,39</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116</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Óleo vegetal de soja (Garrafa com 900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Óleo vegetal comestível, de Soja, TIPO 1. Rotulagem de acordo com a legislação vigente. Deverá apresentar validade mínima de 04 meses a partir da data de entrega à unidade requisitante. Garrafa c/ 900ml.</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Garrafa 900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1126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4,44</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4.999,44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117</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Queijo parmesão (Pacote com 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Queijo Parmesão Ralado, 1º qualidade. Rotulagem de acordo com a legislação vigente. Prazo de validade mínimo 04 meses a contar a partir da data de entrega. Pacote 50g.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172</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3,65</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627,80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118</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Sardinha em conserva (Lata com 250g)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Sardinha conservada em molho de TOMATE. Ingredientes: sardinha, água de constituição (ao próprio suco), MOLHO DE TOMATE e sal. Sem glúten. Latas sem amassados, sem ferrugem. Rotulagem de acordo com a legislação. Deverá apresentar validade mínima de 6 meses a partir da data de entrega à unidade requisitante. Lata com 250 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Lata 250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1197</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7,21</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8.630,37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119</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Uva passa (Caixa com 10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Uva passa preta, sem semente. Rotulagem de acordo com a legislação vigente. Caixa com 10 Kg.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10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05</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185,03</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925,15</w:t>
            </w:r>
          </w:p>
        </w:tc>
      </w:tr>
      <w:tr>
        <w:trPr/>
        <w:tc>
          <w:tcPr>
            <w:tcW w:w="8789"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Normal"/>
              <w:spacing w:before="0" w:after="200"/>
              <w:jc w:val="center"/>
              <w:rPr/>
            </w:pPr>
            <w:r>
              <w:rPr>
                <w:b/>
                <w:bCs/>
                <w:sz w:val="20"/>
                <w:szCs w:val="20"/>
              </w:rPr>
              <w:t xml:space="preserve">Total em R$ </w:t>
            </w:r>
          </w:p>
        </w:tc>
        <w:tc>
          <w:tcPr>
            <w:tcW w:w="11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jc w:val="center"/>
              <w:rPr/>
            </w:pPr>
            <w:r>
              <w:rPr>
                <w:b/>
                <w:bCs/>
                <w:sz w:val="14"/>
                <w:szCs w:val="14"/>
              </w:rPr>
              <w:t>156.880,24</w:t>
            </w:r>
          </w:p>
        </w:tc>
      </w:tr>
      <w:tr>
        <w:trPr/>
        <w:tc>
          <w:tcPr>
            <w:tcW w:w="9977"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b/>
          <w:b/>
          <w:bCs/>
          <w:iCs/>
          <w:color w:val="00000A"/>
          <w:sz w:val="16"/>
          <w:szCs w:val="16"/>
        </w:rPr>
      </w:pPr>
      <w:r>
        <w:rPr>
          <w:rFonts w:ascii="Arial" w:hAnsi="Arial"/>
          <w:b/>
          <w:bCs/>
          <w:iCs/>
          <w:color w:val="00000A"/>
          <w:sz w:val="16"/>
          <w:szCs w:val="16"/>
        </w:rPr>
      </w:r>
    </w:p>
    <w:tbl>
      <w:tblPr>
        <w:tblW w:w="9982"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399"/>
        <w:gridCol w:w="963"/>
        <w:gridCol w:w="4367"/>
        <w:gridCol w:w="1023"/>
        <w:gridCol w:w="896"/>
        <w:gridCol w:w="1140"/>
        <w:gridCol w:w="3"/>
        <w:gridCol w:w="1190"/>
      </w:tblGrid>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numPr>
                <w:ilvl w:val="0"/>
                <w:numId w:val="0"/>
              </w:numPr>
              <w:spacing w:lineRule="auto" w:line="240" w:before="0" w:after="0"/>
              <w:ind w:left="720" w:hanging="0"/>
              <w:jc w:val="center"/>
              <w:textAlignment w:val="center"/>
              <w:rPr/>
            </w:pPr>
            <w:r>
              <w:rPr>
                <w:b/>
                <w:bCs/>
                <w:iCs/>
                <w:color w:val="00000A"/>
                <w:sz w:val="16"/>
                <w:szCs w:val="16"/>
              </w:rPr>
              <w:t>GRUPO 12: CAMPI PETROLINA/OURICURI/SALGUEIRO – Agroindústria</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Coalho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Coalho líquido com enzima quimosina, poder coagulante 1:3000 embalagem de 200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200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10,57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84,56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Cloreto de cálcio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Cloreto de cálcio, líquido alimentício a 50%. Usado na elaboração de queijos.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10,19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50,95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Fermento lácteo tipo 1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Fermento lácteo mesofílico liofilizado. Fermento liofilizado DVS com cepas de Streptococus thermophilus, Lactobacilus lactis subsp. Lactis e/ou Lactococcus lactis subsp. Cremoris. Aplicação em queijos. Envelope para 500L de leite. Referência: CHR HANSEN ou superior</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61,37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184,11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Fermento lácteo tipo 2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Fermento lácteo termofílico para iogurte. Fermento lácteo termofílico concentrado liofilizado DVS com Lactobacilus bulgaricus e Streptococus thermophylus. Envelope para 500 litros de leite. Referência: CHR HANSEN.</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58,95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176,85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Fermento biológico tipo 1 (Pacote com 10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Fermento biológico seco, instantâneo – Células de leveduras Sacharomyces cereviseae e monoestereato de sorbitana. Não necessita ser dissolvido e não necessita de refrigeração. Rotulagem de acordo com a legislação. Pacote de 10g.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401,20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Fermento biológico tipo 2 (Pacote de 500g )</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Fermento biológico seco, instantâneo – Células de leveduras Sacharomyces cereviseae e monoestereato de sorbitana. Não necessita ser dissolvido e não necessita de refrigeração. Embalagem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18,96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37,92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Fermento químico (Pote com 100g)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Fermento em pó químico. Aplicação em bolos. Rotulagem de acordo com a legislação. Pote 100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Pote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3,90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85,80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Melhorador de farinha (Pote com 150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Melhorador de farinha em pasta para produção de pães. Pote com 150g. Referência ADIPASTA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Pote 150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3,93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58,95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Óleo emulsificante (Bisnaga com 100ml)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Óleo emulsificante para produção de pães. Preparado para produtos de panificação com aspecto líquido oleoso bege, homogêneo, livre de matérias estranhas, odor e sabor característicos com padrão. Bisnaga com 100mL.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Bisnaga 100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8,63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129,45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129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Proteína texturizada de soja (Pacote com 400g)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400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856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4,67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3.997,52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130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Purê de batatas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Purê de batata instantâneo. Flocos de batata desidratada que quando hidratados resultam em um purê de textura macia. Marca nacionalmente conhecida. Rotulagem de acordo com a legislação vigente. Deverá apresentar validade mínima de 6 meses a partir da data de entrega à unidade requisitante.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352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28,63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10.077,76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131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Queijo catupiry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Queijo catupiry. Sachê de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272,32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132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Vinho tinto (Garrafa com 750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Vinho tinto seco, para preparações culinárias. Rotulagem de acordo com a legislação vigente. Garrafa com 750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Garrafa 750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18,35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220,20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133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Ameixa seca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Ameixa, seca, sem caroço de 1ª qualidade, acondicionada em embalagem original de fábrica.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250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10,41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312,30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134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Bicarbonato de sódio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Bicarbonato de sódio, embalagem de 100 g. Validade mínima de 10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4,08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135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tipo 1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Alimentício Líquido – Cor amarela.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136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tipo 2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Alimentício Líquido – Cor azul.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137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tipo 3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Alimentício Líquido – Cor lilás.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138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tipo 4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Alimentício Líquido – Cor verde.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139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tipo 5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natural de Urucum líquido: Corante vegetal de urucum para fins alimentícios. Validade mínima de 6 meses a partir da data da entrega.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23,25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69,75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140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Polvilho azedo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Polvilho azedo – polvilho de mandioca. Validade mínima de 6 meses a partir da entrega. Deve conter na embalagem especificação do produto. Embalagem de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11,91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285,84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141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Polvilho doce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Polvilho doce – polvilho de mandioca. Validade mínima de 6 meses a partir da entrega. Deve conter na embalagem especificação do produto. Embalagem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11,08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265,92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142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Realçador de sabor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Realçador de sabor (glutamato monossódico) realça o sabor dos alimentos sem salgar. Validade mínima de 1 ano a partir da data de entrega. Frasco de 100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8,35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16,70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143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Sal de cura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Sal de cura (nitrito de sódio). Aplicação em produtos cárneos.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13,44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144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Ácido cítrico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Ácido Cítrico, uso alimentício, embalagem com 100 g. Validade mínima de 1 ano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16,61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298,98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Gelatina sem sabor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Gelatina em pó sem sabor, também conhecida como gelatina neutra.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54,33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4.183,41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Glicose de milho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Glicose de milho, produto de origem vegetal, embalagem com 350 gramas,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350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14,23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113,84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Pectina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Pectina em pó, ideal para preparo de geleias. Validade mínima de 1 ano a partir da data de entrega. Pote de 50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13,57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678,50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Aroma tipo 1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Aroma líquido, sabor coco. Aplicação em iogurtes. Com registro no ministério da Saúde. Validade mínima de 10 meses a partir da data de entrega.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21,21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21,21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Aroma tipo 2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Aroma líquido, sabor morango. Aplicação em iogurtes. Com registro no ministério da Saúde. Validade mínima de 10 meses a partir da data de entrega.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21,21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21,21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Aroma tipo 3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Essência líquida para panetone. Deve ser límpida e homogênea. A rotulagem deve conter identificação, procedência, informações nutricionais, número de lote e data de validade. Validade mínima de 6 meses a partir da data da entrega no Campus. Frasco de 30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30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4,49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4,49</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Saborizante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Saborizante para uso em iogurte – pó sabor abacaxi. Validade mínima de 1 ano a partir da data de entrega. Deve conter na embalagem especificação do produto.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33,02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33,02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Saborizante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Saborizante para uso em iogurte – pó sabor ameixa preta. Validade mínima de 1 ano a partir da data de entrega. Deve conter na embalagem especificação do produto.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33,02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33,02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Saborizante tipo 3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Saborizante para uso em iogurte – pó sabor morango. Validade mínima de 1 ano a partir da data de entrega. Deve conter na embalagem especificação do produto.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33,02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33,02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Frutas cristalizadas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Formado por mistura de mamão, laranja, figo e abacaxi no caso de misturas de frutas, em que não haja predominância significativa de nenhuma delas (em peso).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250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6,70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174,20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Creme tipo Chantilly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Creme tipo chantilly, Ideal para recheios e coberturas. Validade mínima de 6 meses a partir da data de entrega. Deve conter na embalagem especificação do produto. Embalagem de 1L.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171,10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Chocolate branco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Chocolate branco, tipo cobertura, apresentado em barra fracionada, sem necessidade de sofrer choque térmico ou temperagem. Destinada a produção de bombons, trufas, ovos de páscoa, sobremesas em geral. Barra de 1 kg, padrão Harald ou superior.</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27,78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444,48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Chocolate meio amargo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Chocolate meio amargo, tipo cobertura, apresentado em barra fracionada, sem necessidade de sofrer choque térmico ou temperagem. Destinada a produção de bombons, trufas, ovos de páscoa, sobremesas em geral. Barra de 1 kg, padrão Harald ou superior.</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31,30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3.036,10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Tripa suína salgada (Maço)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Tripa suína salgada calibre 28 a 32 mm, maço com 60 metros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(60 metros)</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59,95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1.258,95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Cereja em calda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Cereja em calda. Embalagem de 100g.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9,19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156,23</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Chocolate em pó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16,05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321,00</w:t>
            </w:r>
          </w:p>
        </w:tc>
      </w:tr>
      <w:tr>
        <w:trPr/>
        <w:tc>
          <w:tcPr>
            <w:tcW w:w="8791"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jc w:val="center"/>
              <w:rPr/>
            </w:pPr>
            <w:r>
              <w:rPr>
                <w:b/>
                <w:bCs/>
                <w:sz w:val="14"/>
                <w:szCs w:val="14"/>
              </w:rPr>
              <w:t>27.792,46</w:t>
            </w:r>
          </w:p>
        </w:tc>
      </w:tr>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left"/>
        <w:textAlignment w:val="center"/>
        <w:rPr>
          <w:rFonts w:ascii="Arial" w:hAnsi="Arial"/>
          <w:b/>
          <w:b/>
          <w:bCs/>
          <w:sz w:val="16"/>
          <w:szCs w:val="16"/>
        </w:rPr>
      </w:pPr>
      <w:r>
        <w:rPr>
          <w:rFonts w:ascii="Arial" w:hAnsi="Arial"/>
          <w:b/>
          <w:bCs/>
          <w:sz w:val="16"/>
          <w:szCs w:val="16"/>
        </w:rPr>
      </w:r>
    </w:p>
    <w:tbl>
      <w:tblPr>
        <w:tblW w:w="9982"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399"/>
        <w:gridCol w:w="963"/>
        <w:gridCol w:w="4367"/>
        <w:gridCol w:w="1023"/>
        <w:gridCol w:w="896"/>
        <w:gridCol w:w="1140"/>
        <w:gridCol w:w="3"/>
        <w:gridCol w:w="1190"/>
      </w:tblGrid>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13: CAMPI PETROLINA/OURICURI/SALGUEIRO – Hortifruti</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Abacaxi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Abacaxi in natura (Ananas comosus), tamanho médio, com polpas firmes e intactas, coloração uniforme, grau de maturação madura.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2454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4,13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10.135,02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Abóbora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Abóbora nova, firme, sem machucados, sem partes escurecidas ou amolecidas.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2434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2,81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6.839,54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163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Abobrinha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Abobrinha brasileira. Produtos sãos, limpos e de boa qualidade, sem defeitos, suficientemente desenvolvidos, com aspecto, aroma e sabor típicos da variedade e uniformidade no tamanho e na cor.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3,20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1.929,60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164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Alface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Alface crespa, fresca, tamanho e coloração uniformes, bem desenvolvida. sem material terroso, livre de resíduos de fertilizantes, parasitos e larvas, sem danos provocados pelo manuseio ou transporte.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459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2,42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1.110,78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165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Alho in natura, aspecto físico em cabeça, tamanho grande.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17,54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11.997,36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166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Banana da terra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Banana da terra.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714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4,57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3.262,98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167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Banana prata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Banana prata.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9036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28.192,32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168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Batata inglesa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Batata inglesa in natura, 1ª qualidade, tamanho grande, lisa, sem brotos ou partes verdes.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8393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32.229,12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169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Batata-doce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Batata-doce roxa com casca firme, sem cortes, sem sinais de umidade e sem bolor.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724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3,38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2.447,12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170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Berinjela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Berinjela. Coloração intensa e característica, sem defeitos, brilhantes e com polpa macia e firme.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3,65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171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Brócolis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Brócolis. Tipo ramoso, in natura. Tamanho e coloração uniformes. Sem áreas amareladas, sem sujidades ou outros defeitos que possam alterar sua aparência ou qualidade.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1199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13,28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15.922,72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172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Cebolinha verde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Cebolinha verde, comum, limpa, tenra, com raiz, com coloração uniforme, com sabor e odor característico a cada variedade. Sem podridão, sem partes secas, murchas ou queimadas por sol ou frio. Bem desenvolvida.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949,50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173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Cebola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Cebola in natura, uso culinário, tipo branca, firme, sem manchas ou partes amolecidas.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9.427,20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174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Cenoura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Cenoura, in natura, alaranjada, sem material terroso, livre de resíduos de fertilizantes, parasitos e larvas, sem danos provocados pelo manuseio ou transporte, sem brotos, grau de maturação madura.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3,37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8.209,32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175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Coentro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Coentro: Folhas verdes, fresca, sem traços de descoloração, íntegros e firmes, isentos de sujidades ou corpo estranhos.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923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1.652,17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176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Chuchu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Hortaliça de casca verde-escuro, sem espinhos, aplicação culinária em geral. Livre de umidade externa, tenra, firme, com sabor e odor característicos, sem podridão úmida ou seca, sem partes queimadas ou esverdeadas, sem danos provocados pelo manuseio ou transporte. Isenta de cortes.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2427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3,03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7.353,81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177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Couve flor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Couve-flor. Fresca, tamanho médio a grande, cabeças firmes e sem áreas escuras, com maturação uniforme e coloração amarelada, sem manchas de fungos.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609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9,09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5.535,81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178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Couve folha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Couve folha, in natura, sem material terroso, livre de resíduos de fertilizantes, parasitos e larvas, sem danos provocados pelo manuseio ou transporte.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2,15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1.285,70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179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Goiaba vermelha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3042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3,50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10.647,00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180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Laranja pêra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Laranja pêra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2,98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8.975,76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181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Limão taiti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Limão taiti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604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4,16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2.512,64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182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Maçã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Maçã nacional, selecionada, in natura, tamanho médio.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3610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6,28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22.670,80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Mamão formosa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Mamão formosa, íntegro, sem machucados, sem furos, sem partes amolecidas, não muito maduros.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3610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7.978,10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Mandioca com casca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Mandioca, com casca, in natura, sem injurias, doenças, sem escurecimento. Raiz na cor marrom e massa branca.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3,25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97,50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Mandioca sem casca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Mandioca, sem casca, resfriada, sem injurias, doenças, sem escurecimento. Embalada a vácuo. Rotulagem em conformidade à legislação vigente.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5386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5,07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27.307,02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Manga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rStyle w:val="Nfaseforte"/>
                <w:b w:val="false"/>
                <w:bCs w:val="false"/>
                <w:sz w:val="14"/>
                <w:szCs w:val="14"/>
              </w:rPr>
              <w:t xml:space="preserve">Manga </w:t>
            </w:r>
            <w:r>
              <w:rPr>
                <w:rStyle w:val="Fontepargpadro"/>
                <w:sz w:val="14"/>
                <w:szCs w:val="14"/>
              </w:rPr>
              <w:t>Limpa, madura, tenra e sem fiapos. Casca lisa e brilhante, sem manchas, sem podridão, sem deformações. Bem desenvolvida com peso igual ou superior a 400g cada.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3660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11.382,60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187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Melancia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Melancia, in natura, sem machucados, íntegra, grande de 1ª qualidade tamanho e coloração uniforme.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9006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12.968,64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188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Melão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Melão "amarelo".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2,44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7.324,88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189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Milho verde em espiga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Milho verde em espigas com palhas íntegras, sem partes amolecidas ou estragadas.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3750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8.287,50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Pepino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Pepino, in natura, coloração verde, firme, sem injúrias.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3,36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60,48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Pimentão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Pimentão verde, in natura, novo, sem amassados, sem manchas ou furos.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689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4,26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2.935,14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Repolho Branco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Repolho Branco, in natura, 1ª qualidade, tamanho grande, sem manchas ou partes murchas.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613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2.789,15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Repolho Roxo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Repolho Roxo, in natura, 1ª qualidade, tamanho grande, sem manchas ou partes murchas.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7,06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105,90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Tangerina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Tangerina, tamanho médio,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5,18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15.550,36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Tomate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Tomate vermelho paulista, graúdo, in natura, 1ª qualidade, sem machucados, sem furos, firmes. Maduro.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1561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6.275,22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Vagem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Vagem curta verde, tamanho e coloração uniformes, livre de material terroso, sem danos causados pelo manuseio ou transporte.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8,11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121,65</w:t>
            </w:r>
          </w:p>
        </w:tc>
      </w:tr>
      <w:tr>
        <w:trPr/>
        <w:tc>
          <w:tcPr>
            <w:tcW w:w="8791"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296.485,01</w:t>
            </w:r>
          </w:p>
        </w:tc>
      </w:tr>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rFonts w:ascii="Arial" w:hAnsi="Arial"/>
          <w:b/>
          <w:b/>
          <w:bCs/>
          <w:sz w:val="16"/>
          <w:szCs w:val="16"/>
        </w:rPr>
      </w:pPr>
      <w:r>
        <w:rPr>
          <w:rFonts w:ascii="Arial" w:hAnsi="Arial"/>
          <w:b/>
          <w:bCs/>
          <w:sz w:val="16"/>
          <w:szCs w:val="16"/>
        </w:rPr>
      </w:r>
    </w:p>
    <w:p>
      <w:pPr>
        <w:pStyle w:val="Normal"/>
        <w:spacing w:lineRule="auto" w:line="240" w:before="0" w:after="0"/>
        <w:jc w:val="center"/>
        <w:rPr>
          <w:rFonts w:ascii="Arial" w:hAnsi="Arial"/>
          <w:b/>
          <w:b/>
          <w:bCs/>
          <w:sz w:val="16"/>
          <w:szCs w:val="16"/>
        </w:rPr>
      </w:pPr>
      <w:r>
        <w:rPr>
          <w:rFonts w:ascii="Arial" w:hAnsi="Arial"/>
          <w:b/>
          <w:bCs/>
          <w:sz w:val="16"/>
          <w:szCs w:val="16"/>
        </w:rPr>
      </w:r>
    </w:p>
    <w:tbl>
      <w:tblPr>
        <w:tblW w:w="9975"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14: CAMPI PETROLINA/OURICURI/SALGUEIRO – Polpas de Fruta</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197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11,18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25.378,60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198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10,40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15.724,80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199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3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11,10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25.197,00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4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1507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13,01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19.606,07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11,65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26.270,75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6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15,73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35.471,15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203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7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753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12,85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9.676,05</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jc w:val="center"/>
              <w:rPr/>
            </w:pPr>
            <w:r>
              <w:rPr>
                <w:rFonts w:eastAsia="Times New Roman" w:cs="Tahoma"/>
                <w:b/>
                <w:bCs/>
                <w:color w:val="00000A"/>
                <w:sz w:val="14"/>
                <w:szCs w:val="14"/>
                <w:highlight w:val="yellow"/>
                <w:lang w:val="pt-BR" w:eastAsia="pt-BR" w:bidi="ar-SA"/>
              </w:rPr>
              <w:t>157.324,42</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rFonts w:ascii="Arial" w:hAnsi="Arial"/>
          <w:b/>
          <w:b/>
          <w:bCs/>
          <w:sz w:val="16"/>
          <w:szCs w:val="16"/>
        </w:rPr>
      </w:pPr>
      <w:r>
        <w:rPr>
          <w:rFonts w:ascii="Arial" w:hAnsi="Arial"/>
          <w:b/>
          <w:bCs/>
          <w:sz w:val="16"/>
          <w:szCs w:val="16"/>
        </w:rPr>
      </w:r>
    </w:p>
    <w:p>
      <w:pPr>
        <w:pStyle w:val="Contedodatabela"/>
        <w:spacing w:lineRule="auto" w:line="240" w:before="0" w:after="0"/>
        <w:jc w:val="center"/>
        <w:textAlignment w:val="center"/>
        <w:rPr>
          <w:rFonts w:ascii="Arial" w:hAnsi="Arial"/>
          <w:b/>
          <w:b/>
          <w:bCs/>
          <w:sz w:val="16"/>
          <w:szCs w:val="16"/>
        </w:rPr>
      </w:pPr>
      <w:r>
        <w:rPr>
          <w:rFonts w:ascii="Arial" w:hAnsi="Arial"/>
          <w:b/>
          <w:bCs/>
          <w:sz w:val="16"/>
          <w:szCs w:val="16"/>
        </w:rPr>
      </w:r>
    </w:p>
    <w:tbl>
      <w:tblPr>
        <w:tblW w:w="9975"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15: CAMPI PETROLINA/SALGUEIRO – Padaria</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204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Bolo bacia tipo 1 (Pacote com 10 unidades)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Bolo Bacia: Bolo de trigo, em formas individuais, sem recheio nem coberturas, pesando entre 180g-220g cada. Empacotado em embalagem plástica contendo 10 unidades. Deve conter em sua embalagem a data de fabricação e de validade.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com 10</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1496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17,25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25.806,00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205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Bolo bacia tipo 2 (Pacote com 10 unidades)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Bolo Bacia: Bolo de trigo INTEGRAL, em forma individuas, sem recheio nem coberturas, pesando entre 180g-220g cada. Empacotado em embalagem plástica contendo 10 unidades. Deve conter em sua embalagem a data de fabricação e de validade.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com 10</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30,60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18.298,80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206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Torradas simples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Torrada simples, de pão dormido Tipo Francês ou Tabica. Embalagem plástica de 500g, contendo data de fabricação e validade. Validade mínima de 10 dias a contar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7,17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6.460,17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207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Pão de forma tipo 1 (Pacote)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Pão de forma integral fatiado verticalmente isento de gordura trans.-acondicionado em pacotes com aproximadamente 500 gramas.-fatiado verticalmente com aproximadamente 25 gramas cada.-embalagens com aproximadamente 20 fatias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7,26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6.519,48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208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Pão de forma tipo 2 (Pacote)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Pão de forma fatiado verticalmente isento de gordura trans.-acondicionado em pacotes com aproximadamente 500 gramas.-fatiado verticalmente com aproximadamente 25 gramas cada.-embalagens com aproximadamente 20 fatias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1496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6,15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9.200,40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Pão de cachorro quente (Pacote)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Pão para cachorro quente.(Deverá apresentar validade mínima de 15 (quinze) dias a partir da data de entrega). Embalagem plástica contendo 10 unidades cada pacote.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com 10</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7480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34.034,00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Bolo de milho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Bolo de milho, novo, contendo data de validade e de fabricação. Embalado individualmente com plástico filme. A unidade deve variar de 2 a 4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748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19,19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14.354,12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Bolo de cenoura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Bolo de cenoura, novo, Sem cobertura, contendo data de validade e de fabricação. Embalado individualmente com plástico filme. A unidade deve variar de 2 a 4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374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18,89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7.064,86</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8"/>
                <w:szCs w:val="18"/>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jc w:val="center"/>
              <w:rPr/>
            </w:pPr>
            <w:r>
              <w:rPr>
                <w:b/>
                <w:bCs/>
                <w:sz w:val="16"/>
                <w:szCs w:val="16"/>
              </w:rPr>
              <w:t>121.737,83</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rStyle w:val="Fontepargpadro"/>
                <w:b/>
                <w:bCs/>
                <w:iCs/>
                <w:color w:val="00000A"/>
                <w:sz w:val="16"/>
                <w:szCs w:val="16"/>
              </w:rPr>
              <w:t>Rua Maria Luiza de Araújo Gomes Cabral, 791, João de Deus, Petrolina/PE.</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6"/>
                <w:szCs w:val="16"/>
              </w:rPr>
              <w:t>Valor total estimado para os grupos 02 a 15</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3" w:type="dxa"/>
            </w:tcMar>
            <w:vAlign w:val="center"/>
          </w:tcPr>
          <w:p>
            <w:pPr>
              <w:pStyle w:val="Normal"/>
              <w:spacing w:before="0" w:after="200"/>
              <w:jc w:val="center"/>
              <w:rPr/>
            </w:pPr>
            <w:r>
              <w:rPr>
                <w:b/>
                <w:bCs/>
                <w:sz w:val="16"/>
                <w:szCs w:val="16"/>
              </w:rPr>
              <w:t>2.171.127,48</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spacing w:lineRule="auto" w:line="240" w:before="0" w:after="0"/>
        <w:rPr>
          <w:rStyle w:val="Fontepargpadro"/>
          <w:iCs/>
          <w:color w:val="00000A"/>
          <w:sz w:val="16"/>
          <w:szCs w:val="16"/>
        </w:rPr>
      </w:pPr>
      <w:r>
        <w:rPr>
          <w:iCs/>
          <w:color w:val="00000A"/>
          <w:sz w:val="16"/>
          <w:szCs w:val="16"/>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915"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58"/>
        <w:gridCol w:w="1033"/>
        <w:gridCol w:w="900"/>
        <w:gridCol w:w="1140"/>
        <w:gridCol w:w="1120"/>
      </w:tblGrid>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 xml:space="preserve">GRUPO 16: </w:t>
            </w:r>
            <w:r>
              <w:rPr>
                <w:rStyle w:val="Fontepargpadro"/>
                <w:sz w:val="16"/>
                <w:szCs w:val="16"/>
              </w:rPr>
              <w:t xml:space="preserve">CAMPUS PET. ZONA RURAL – </w:t>
            </w:r>
            <w:r>
              <w:rPr>
                <w:rStyle w:val="Fontepargpadro"/>
                <w:b/>
                <w:bCs/>
                <w:sz w:val="16"/>
                <w:szCs w:val="16"/>
              </w:rPr>
              <w:t>Proteína Animal Bovina, Frango e Peixe</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Item</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Descrição</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 Unitário</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bovina tipo 1 (Kg)</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8.636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22,38</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193.273,68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213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bovina tipo 2 (Kg)</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405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20,76</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8.407,80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214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bovina tipo 3 (Kg)</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6.915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18,98</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131.246,70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215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bovina tipo 4 (Kg)</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de boi, MOÍDA, de primeira qualidade, PALETA.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400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18,93</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7.572,00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216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Fígado bovino (Kg)</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1.347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10,01</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13.483,47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de charque (Kg)</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Charque traseira, tipo seca, bovina, resfriada, de primeira qualidade. Deverá possuir registro no órgão oficial, Selo de Inspeção Municipal (S.I.M.), Selo de Inspeção Estadual (S.I.E.) ou Selo de Inspeção Federal (S.I.F.). Embalada à vácuo. Produzida, embalada, rotulada e transportada em conformidade com as normas da legislação sanitária vigente. O produto deve apresentar validade mínima de 03 meses a partir da data de entrega à unidade requisitante. Embalagem lacrada.</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492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24,70</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12.152,40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Coxa de frango (Kg)</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5.069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9,24</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46.837,56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Filé de peito de frango (Kg)</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6.133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12,02</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73.718,66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Peito de frango (Kg)</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minima de 08 meses a partir da data de entrega à unidade requisitante. Embalagem lacrada.</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10,41</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208,20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Sobrecoxa de frango (Kg)</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Sobrecoxas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unidade requisitante. Embalagem lacrada.</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1.109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10,12</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11.223,08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Filé de peixe tipo 1 (Kg)</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7.856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23,68</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186.030,08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Filé de peixe tipo 2 (Kg)</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33,12</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13.910,40</w:t>
            </w:r>
          </w:p>
        </w:tc>
      </w:tr>
      <w:tr>
        <w:trPr/>
        <w:tc>
          <w:tcPr>
            <w:tcW w:w="8794"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FF99" w:val="clear"/>
            <w:tcMar>
              <w:left w:w="13" w:type="dxa"/>
            </w:tcMar>
            <w:vAlign w:val="center"/>
          </w:tcPr>
          <w:p>
            <w:pPr>
              <w:pStyle w:val="Contedodatabela"/>
              <w:jc w:val="center"/>
              <w:rPr/>
            </w:pPr>
            <w:r>
              <w:rPr>
                <w:rFonts w:eastAsia="Times New Roman" w:cs="Tahoma"/>
                <w:b/>
                <w:bCs/>
                <w:color w:val="00000A"/>
                <w:sz w:val="14"/>
                <w:szCs w:val="14"/>
                <w:lang w:val="pt-BR" w:eastAsia="pt-BR" w:bidi="ar-SA"/>
              </w:rPr>
              <w:t>698.074,03</w:t>
            </w:r>
          </w:p>
        </w:tc>
      </w:tr>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Contedodatabela"/>
              <w:spacing w:lineRule="auto" w:line="240" w:before="0" w:after="0"/>
              <w:jc w:val="left"/>
              <w:rPr/>
            </w:pPr>
            <w:r>
              <w:rPr>
                <w:rStyle w:val="Fontepargpadro"/>
                <w:iCs/>
                <w:sz w:val="16"/>
                <w:szCs w:val="16"/>
              </w:rPr>
              <w:t>Rodovia BR 235, KM 22, Projeto Senador Nilo Coelho N4, Petrolina/PE.</w:t>
            </w:r>
          </w:p>
        </w:tc>
      </w:tr>
    </w:tbl>
    <w:p>
      <w:pPr>
        <w:pStyle w:val="Contedodatabela"/>
        <w:spacing w:lineRule="auto" w:line="240" w:before="0" w:after="0"/>
        <w:rPr>
          <w:rStyle w:val="Fontepargpadro"/>
          <w:rFonts w:ascii="Arial" w:hAnsi="Arial"/>
          <w:iCs/>
          <w:sz w:val="16"/>
          <w:szCs w:val="16"/>
        </w:rPr>
      </w:pPr>
      <w:r>
        <w:rPr>
          <w:rFonts w:ascii="Arial" w:hAnsi="Arial"/>
          <w:iCs/>
          <w:sz w:val="16"/>
          <w:szCs w:val="16"/>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tbl>
      <w:tblPr>
        <w:tblW w:w="9915"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58"/>
        <w:gridCol w:w="1033"/>
        <w:gridCol w:w="900"/>
        <w:gridCol w:w="1140"/>
        <w:gridCol w:w="1120"/>
      </w:tblGrid>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17: CAMPUS PET. ZONA RURAL – Proteína Animal Suína e Caprina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Item</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Descrição</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 Unitário</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caprina/ovina (Kg)</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CAPRINA/OVINA, de primeira qualidade. Corte Inteiro. Resfriada, limpa, não pegajosa, cor própria da carne, sem manchas esverdeadas ou pardas e cheiro característico do produto.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7.541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21,19</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159.793,79</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Paleta suína (Kg)</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Paleta Suína, com pele e sem osso, congelada. Produzida, embalada, rotulada e transportada em conformidade com as normas da legislação sanitária vigente. Deverá possuir registro no órgão oficial, Selo de Inspeção Estadual (S.I.E.) ou Selo de Inspeção Federal (S.I.F.). O produto deverá apresentar validade mínima de 03 meses a partir da data de entrega à unidade requisitante. Embalagem lacrada.</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14,21</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511,56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Pernil suíno (Kg)</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Pernil Suíno com pele e sem osso.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14,50</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8.468,00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Costela suína (Kg)</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Costela suína defumada. Produzida, embalada, rotulada e transportada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18,07</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686,66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Bacon (Kg)</w:t>
            </w:r>
          </w:p>
        </w:tc>
        <w:tc>
          <w:tcPr>
            <w:tcW w:w="4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Bacon defumado.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19,00</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2.261,00</w:t>
            </w:r>
          </w:p>
        </w:tc>
      </w:tr>
      <w:tr>
        <w:trPr/>
        <w:tc>
          <w:tcPr>
            <w:tcW w:w="8794"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FF99"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171.721,01</w:t>
            </w:r>
          </w:p>
        </w:tc>
      </w:tr>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tbl>
      <w:tblPr>
        <w:tblW w:w="9915"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4"/>
        <w:gridCol w:w="4364"/>
        <w:gridCol w:w="1033"/>
        <w:gridCol w:w="900"/>
        <w:gridCol w:w="1080"/>
        <w:gridCol w:w="1"/>
        <w:gridCol w:w="1172"/>
      </w:tblGrid>
      <w:tr>
        <w:trPr/>
        <w:tc>
          <w:tcPr>
            <w:tcW w:w="991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lineRule="auto" w:line="240" w:before="0" w:after="0"/>
              <w:ind w:left="360" w:right="0" w:hanging="0"/>
              <w:jc w:val="center"/>
              <w:textAlignment w:val="center"/>
              <w:rPr/>
            </w:pPr>
            <w:r>
              <w:rPr>
                <w:rStyle w:val="Fontepargpadro"/>
                <w:b/>
                <w:bCs/>
                <w:sz w:val="16"/>
                <w:szCs w:val="16"/>
              </w:rPr>
              <w:t>GRUPO 18: CAMPUS PET. ZONA RURAL – Frios e embutidos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Nº Item</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Item</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Descrição</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Qtd.</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 Unitário</w:t>
            </w:r>
          </w:p>
        </w:tc>
        <w:tc>
          <w:tcPr>
            <w:tcW w:w="11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229</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Linguiça calabresa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244</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18,19</w:t>
            </w:r>
          </w:p>
        </w:tc>
        <w:tc>
          <w:tcPr>
            <w:tcW w:w="11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4.438,36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230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Linguiça de frango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200</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12,14</w:t>
            </w:r>
          </w:p>
        </w:tc>
        <w:tc>
          <w:tcPr>
            <w:tcW w:w="11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2.428,00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231</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Mortadela de frango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100</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9,33</w:t>
            </w:r>
          </w:p>
        </w:tc>
        <w:tc>
          <w:tcPr>
            <w:tcW w:w="11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933,00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232</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Presunto cozido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10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209</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24,16</w:t>
            </w:r>
          </w:p>
        </w:tc>
        <w:tc>
          <w:tcPr>
            <w:tcW w:w="11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5.049,44</w:t>
            </w:r>
          </w:p>
        </w:tc>
      </w:tr>
      <w:tr>
        <w:trPr/>
        <w:tc>
          <w:tcPr>
            <w:tcW w:w="400"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233</w:t>
            </w:r>
          </w:p>
        </w:tc>
        <w:tc>
          <w:tcPr>
            <w:tcW w:w="964"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Salsicha (Embalagem com 3kg)</w:t>
            </w:r>
          </w:p>
        </w:tc>
        <w:tc>
          <w:tcPr>
            <w:tcW w:w="4364"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Salsicha hot dog resfriada de frango. Validade mínima de 6 meses a partir da data de entrega no campus solicitante. Embalagem de 3kg</w:t>
            </w:r>
          </w:p>
        </w:tc>
        <w:tc>
          <w:tcPr>
            <w:tcW w:w="1033"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Embalagem 03 kg</w:t>
            </w:r>
          </w:p>
        </w:tc>
        <w:tc>
          <w:tcPr>
            <w:tcW w:w="900"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w:t>
            </w:r>
          </w:p>
        </w:tc>
        <w:tc>
          <w:tcPr>
            <w:tcW w:w="1080"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27,56</w:t>
            </w:r>
          </w:p>
        </w:tc>
        <w:tc>
          <w:tcPr>
            <w:tcW w:w="1173" w:type="dxa"/>
            <w:gridSpan w:val="2"/>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551,20</w:t>
            </w:r>
          </w:p>
        </w:tc>
      </w:tr>
      <w:tr>
        <w:trPr/>
        <w:tc>
          <w:tcPr>
            <w:tcW w:w="874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FF99" w:val="clear"/>
            <w:tcMar>
              <w:left w:w="13" w:type="dxa"/>
            </w:tcMar>
            <w:vAlign w:val="center"/>
          </w:tcPr>
          <w:p>
            <w:pPr>
              <w:pStyle w:val="Contedodatabela"/>
              <w:jc w:val="center"/>
              <w:rPr/>
            </w:pPr>
            <w:r>
              <w:rPr>
                <w:rFonts w:eastAsia="Times New Roman" w:cs="Tahoma"/>
                <w:b/>
                <w:bCs/>
                <w:color w:val="00000A"/>
                <w:sz w:val="14"/>
                <w:szCs w:val="14"/>
                <w:lang w:val="pt-BR" w:eastAsia="pt-BR" w:bidi="ar-SA"/>
              </w:rPr>
              <w:t>13.400,00</w:t>
            </w:r>
          </w:p>
        </w:tc>
      </w:tr>
      <w:tr>
        <w:trPr/>
        <w:tc>
          <w:tcPr>
            <w:tcW w:w="9914"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pPr>
      <w:r>
        <w:rPr/>
      </w:r>
    </w:p>
    <w:tbl>
      <w:tblPr>
        <w:tblW w:w="987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392"/>
        <w:gridCol w:w="974"/>
        <w:gridCol w:w="4367"/>
        <w:gridCol w:w="1020"/>
        <w:gridCol w:w="900"/>
        <w:gridCol w:w="1077"/>
        <w:gridCol w:w="1"/>
        <w:gridCol w:w="1138"/>
      </w:tblGrid>
      <w:tr>
        <w:trPr/>
        <w:tc>
          <w:tcPr>
            <w:tcW w:w="986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lineRule="auto" w:line="240" w:before="0" w:after="0"/>
              <w:jc w:val="center"/>
              <w:rPr/>
            </w:pPr>
            <w:r>
              <w:rPr/>
            </w:r>
          </w:p>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19: CAMPUS PET. ZONA RURAL – Derivados de leite e ovos</w:t>
            </w:r>
          </w:p>
        </w:tc>
      </w:tr>
      <w:tr>
        <w:trPr/>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Nº Item</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Descrição</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Qtd.</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 Unitário</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234</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Iogurte tipo 1 (Pote com 170g)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170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2000</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3,19</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6.380,00</w:t>
            </w:r>
          </w:p>
        </w:tc>
      </w:tr>
      <w:tr>
        <w:trPr/>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235</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Iogurte tipo 2 (Garrafa com 900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Garrafa 900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4663</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7,14</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33.293,82</w:t>
            </w:r>
          </w:p>
        </w:tc>
      </w:tr>
      <w:tr>
        <w:trPr/>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236</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Manteiga (Balde com 05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5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186</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158,96</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29.566,56</w:t>
            </w:r>
          </w:p>
        </w:tc>
      </w:tr>
      <w:tr>
        <w:trPr/>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237</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Manteiga sem sal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Manteiga de primeira qualidade sem sal. Validade mínima de 6 meses a partir da data de entrega. Embalagem de 200g, com dados de identificação na embalagem</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16</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11,07</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177,12</w:t>
            </w:r>
          </w:p>
        </w:tc>
      </w:tr>
      <w:tr>
        <w:trPr/>
        <w:tc>
          <w:tcPr>
            <w:tcW w:w="39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238</w:t>
            </w:r>
          </w:p>
        </w:tc>
        <w:tc>
          <w:tcPr>
            <w:tcW w:w="97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Margarina tipo 3 (Balde com 15 kg)</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MARGARINA. BALDE COM 15 Kg. Margarina vegetal com sal com 80% de lipídeos, de primeira qualidade, livre de oxidação (ranço) e homogênea. Deverá apresentar validade mínima de 06 (seis) meses a partir da data de entrega.</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15 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06</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116,75</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700,50</w:t>
            </w:r>
          </w:p>
        </w:tc>
      </w:tr>
      <w:tr>
        <w:trPr/>
        <w:tc>
          <w:tcPr>
            <w:tcW w:w="39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239</w:t>
            </w:r>
          </w:p>
        </w:tc>
        <w:tc>
          <w:tcPr>
            <w:tcW w:w="97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Queijo coalho (Kg)</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Queijo coalho - de 1ª qualidade, com leite pasteurizado, embalagem original a vácuo, em saco plástico transparente, atóxico, limpo, não violado, resistente. Deverá possuir registro no órgão oficial, Selo de Inspeção Municipal (S.I.M.), Selo de Inspeção Estadual (S.I.E.) ou Selo de Inspeção Federal (S.I.F.). O produto deverá apresentar validade mínima de 02 meses a partir da data de entrega unidade requisitante. Embalagem lacrada.</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100</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30,12</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3.012,00</w:t>
            </w:r>
          </w:p>
        </w:tc>
      </w:tr>
      <w:tr>
        <w:trPr/>
        <w:tc>
          <w:tcPr>
            <w:tcW w:w="39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240</w:t>
            </w:r>
          </w:p>
        </w:tc>
        <w:tc>
          <w:tcPr>
            <w:tcW w:w="97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Queijo muçarela (Kg)</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640</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27,53</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17.619,20</w:t>
            </w:r>
          </w:p>
        </w:tc>
      </w:tr>
      <w:tr>
        <w:trPr/>
        <w:tc>
          <w:tcPr>
            <w:tcW w:w="39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241</w:t>
            </w:r>
          </w:p>
        </w:tc>
        <w:tc>
          <w:tcPr>
            <w:tcW w:w="97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Ovos (Bandeja com 30 unidades)</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2"/>
                <w:szCs w:val="12"/>
              </w:rPr>
              <w:t>Bandeja com 30 unidades</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1074</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13,68</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14.692,32</w:t>
            </w:r>
          </w:p>
        </w:tc>
      </w:tr>
      <w:tr>
        <w:trPr/>
        <w:tc>
          <w:tcPr>
            <w:tcW w:w="8731"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105.441,52</w:t>
            </w:r>
          </w:p>
        </w:tc>
      </w:tr>
      <w:tr>
        <w:trPr/>
        <w:tc>
          <w:tcPr>
            <w:tcW w:w="986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tbl>
      <w:tblPr>
        <w:tblW w:w="987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392"/>
        <w:gridCol w:w="974"/>
        <w:gridCol w:w="4368"/>
        <w:gridCol w:w="1020"/>
        <w:gridCol w:w="838"/>
        <w:gridCol w:w="1069"/>
        <w:gridCol w:w="3"/>
        <w:gridCol w:w="1205"/>
      </w:tblGrid>
      <w:tr>
        <w:trPr/>
        <w:tc>
          <w:tcPr>
            <w:tcW w:w="986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20: CAMPUS PET. ZONA RURAL – Cereais e Farináceos</w:t>
            </w:r>
          </w:p>
        </w:tc>
      </w:tr>
      <w:tr>
        <w:trPr/>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Nº Item</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Descrição</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Unidade</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Qtd.</w:t>
            </w:r>
          </w:p>
        </w:tc>
        <w:tc>
          <w:tcPr>
            <w:tcW w:w="10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 Unitário</w:t>
            </w:r>
          </w:p>
        </w:tc>
        <w:tc>
          <w:tcPr>
            <w:tcW w:w="12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242</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Amido de milho (Caixa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500 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344</w:t>
            </w:r>
          </w:p>
        </w:tc>
        <w:tc>
          <w:tcPr>
            <w:tcW w:w="10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7,26</w:t>
            </w:r>
          </w:p>
        </w:tc>
        <w:tc>
          <w:tcPr>
            <w:tcW w:w="12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2.497,44</w:t>
            </w:r>
          </w:p>
        </w:tc>
      </w:tr>
      <w:tr>
        <w:trPr/>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243</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Arroz parboilizado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 kg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15422</w:t>
            </w:r>
          </w:p>
        </w:tc>
        <w:tc>
          <w:tcPr>
            <w:tcW w:w="10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3,09</w:t>
            </w:r>
          </w:p>
        </w:tc>
        <w:tc>
          <w:tcPr>
            <w:tcW w:w="12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47.653,98</w:t>
            </w:r>
          </w:p>
        </w:tc>
      </w:tr>
      <w:tr>
        <w:trPr/>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244</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Aveia (Caixa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Aveia em flocos finos. A embalagem interna deverá ser em pacotes plásticos transparentes,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170 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616</w:t>
            </w:r>
          </w:p>
        </w:tc>
        <w:tc>
          <w:tcPr>
            <w:tcW w:w="10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4,15</w:t>
            </w:r>
          </w:p>
        </w:tc>
        <w:tc>
          <w:tcPr>
            <w:tcW w:w="12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2.556,40</w:t>
            </w:r>
          </w:p>
        </w:tc>
      </w:tr>
      <w:tr>
        <w:trPr/>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245</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Farinha de mandioca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Farinha de Mandioca fina, branca, tipo 1. Industrializada. Rotulagem de acordo com a legislação. Data de validade mínima de 3 meses a contar da data de entrega do produto. Pacote com 01 Kg.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 kg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1428</w:t>
            </w:r>
          </w:p>
        </w:tc>
        <w:tc>
          <w:tcPr>
            <w:tcW w:w="10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4,25</w:t>
            </w:r>
          </w:p>
        </w:tc>
        <w:tc>
          <w:tcPr>
            <w:tcW w:w="12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6.069,00</w:t>
            </w:r>
          </w:p>
        </w:tc>
      </w:tr>
      <w:tr>
        <w:trPr/>
        <w:tc>
          <w:tcPr>
            <w:tcW w:w="39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246</w:t>
            </w:r>
          </w:p>
        </w:tc>
        <w:tc>
          <w:tcPr>
            <w:tcW w:w="97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Farinha de trigo tipo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Farinha de trigo tradicional, sem fermento, tipo 1. Enriquecida com ferro e ácido fólico. Deverá apresentar validade mínima de 3 meses a partir da data de entrega. Embalagem de 1 kg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 kg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544</w:t>
            </w:r>
          </w:p>
        </w:tc>
        <w:tc>
          <w:tcPr>
            <w:tcW w:w="106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4,00</w:t>
            </w:r>
          </w:p>
        </w:tc>
        <w:tc>
          <w:tcPr>
            <w:tcW w:w="1208"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2.176,00</w:t>
            </w:r>
          </w:p>
        </w:tc>
      </w:tr>
      <w:tr>
        <w:trPr/>
        <w:tc>
          <w:tcPr>
            <w:tcW w:w="39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247</w:t>
            </w:r>
          </w:p>
        </w:tc>
        <w:tc>
          <w:tcPr>
            <w:tcW w:w="97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Farinha de trigo tipo 2 (50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Farinha de trigo especial, sem fermento, tipo 1, para produção de pães. Deverá apresentar validade mínima de 03 meses a partir da data de entrega. Saco com 50kg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Saco 50 kg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17</w:t>
            </w:r>
          </w:p>
        </w:tc>
        <w:tc>
          <w:tcPr>
            <w:tcW w:w="106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149,35</w:t>
            </w:r>
          </w:p>
        </w:tc>
        <w:tc>
          <w:tcPr>
            <w:tcW w:w="1208"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2.538,95</w:t>
            </w:r>
          </w:p>
        </w:tc>
      </w:tr>
      <w:tr>
        <w:trPr/>
        <w:tc>
          <w:tcPr>
            <w:tcW w:w="39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248</w:t>
            </w:r>
          </w:p>
        </w:tc>
        <w:tc>
          <w:tcPr>
            <w:tcW w:w="97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Farinha de milho (Pacote com 500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5350</w:t>
            </w:r>
          </w:p>
        </w:tc>
        <w:tc>
          <w:tcPr>
            <w:tcW w:w="106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1,71</w:t>
            </w:r>
          </w:p>
        </w:tc>
        <w:tc>
          <w:tcPr>
            <w:tcW w:w="1208"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9.148,50</w:t>
            </w:r>
          </w:p>
        </w:tc>
      </w:tr>
      <w:tr>
        <w:trPr/>
        <w:tc>
          <w:tcPr>
            <w:tcW w:w="39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249</w:t>
            </w:r>
          </w:p>
        </w:tc>
        <w:tc>
          <w:tcPr>
            <w:tcW w:w="97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Milho para munguzá tipo 1 (Pacote com 500g)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bookmarkStart w:id="11" w:name="__DdeLink__27136_1646513612"/>
            <w:bookmarkEnd w:id="11"/>
            <w:r>
              <w:rPr>
                <w:sz w:val="14"/>
                <w:szCs w:val="14"/>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202</w:t>
            </w:r>
          </w:p>
        </w:tc>
        <w:tc>
          <w:tcPr>
            <w:tcW w:w="106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3,58</w:t>
            </w:r>
          </w:p>
        </w:tc>
        <w:tc>
          <w:tcPr>
            <w:tcW w:w="1208"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723,16</w:t>
            </w:r>
          </w:p>
        </w:tc>
      </w:tr>
      <w:tr>
        <w:trPr/>
        <w:tc>
          <w:tcPr>
            <w:tcW w:w="8664"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20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13" w:type="dxa"/>
            </w:tcMar>
            <w:vAlign w:val="center"/>
          </w:tcPr>
          <w:p>
            <w:pPr>
              <w:pStyle w:val="Contedodatabela"/>
              <w:jc w:val="center"/>
              <w:rPr/>
            </w:pPr>
            <w:r>
              <w:rPr>
                <w:rFonts w:eastAsia="Times New Roman" w:cs="Tahoma"/>
                <w:b/>
                <w:bCs/>
                <w:color w:val="00000A"/>
                <w:sz w:val="14"/>
                <w:szCs w:val="14"/>
                <w:lang w:val="pt-BR" w:eastAsia="pt-BR" w:bidi="ar-SA"/>
              </w:rPr>
              <w:t>73.363,43</w:t>
            </w:r>
          </w:p>
        </w:tc>
      </w:tr>
      <w:tr>
        <w:trPr/>
        <w:tc>
          <w:tcPr>
            <w:tcW w:w="986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 xml:space="preserve">Rodovia BR 235, KM 22, Projeto Senador Nilo Coelho N4, Petrolina/PE. </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30"/>
        <w:gridCol w:w="900"/>
        <w:gridCol w:w="1017"/>
        <w:gridCol w:w="4"/>
        <w:gridCol w:w="1127"/>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21: CAMPUS PET. ZONA RURAL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Descrição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 Unitário</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Achocolatado em pó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Achocolatado em pó, 1ª qualidade. Rotulagem de acordo com a legislação. Pacote 200g.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rFonts w:eastAsia="Times New Roman" w:cs="Tahoma"/>
                <w:b/>
                <w:bCs/>
                <w:color w:val="00000A"/>
                <w:sz w:val="14"/>
                <w:szCs w:val="14"/>
                <w:lang w:val="pt-BR" w:eastAsia="pt-BR" w:bidi="ar-SA"/>
              </w:rPr>
              <w:t>2,67</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1.068,00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Achocolatado em pó diet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rFonts w:eastAsia="Times New Roman" w:cs="Tahoma"/>
                <w:b/>
                <w:bCs/>
                <w:color w:val="00000A"/>
                <w:sz w:val="14"/>
                <w:szCs w:val="14"/>
                <w:lang w:val="pt-BR" w:eastAsia="pt-BR" w:bidi="ar-SA"/>
              </w:rPr>
              <w:t>17,70</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1.770,00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1804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rFonts w:eastAsia="Times New Roman" w:cs="Tahoma"/>
                <w:b/>
                <w:bCs/>
                <w:color w:val="00000A"/>
                <w:sz w:val="14"/>
                <w:szCs w:val="14"/>
                <w:lang w:val="pt-BR" w:eastAsia="pt-BR" w:bidi="ar-SA"/>
              </w:rPr>
              <w:t>2,59</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4.672,36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883</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4,50</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3.973,50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Adoçante (Unidade de 90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Adoçante líquido dietético estévia Pura 90mL. Sem aspartame. Sem ciclamato. Sem Sacarina. Sem Acesulfame. Sem sucralose.</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90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rFonts w:eastAsia="Times New Roman" w:cs="Tahoma"/>
                <w:b/>
                <w:bCs/>
                <w:color w:val="00000A"/>
                <w:sz w:val="14"/>
                <w:szCs w:val="14"/>
                <w:lang w:val="pt-BR" w:eastAsia="pt-BR" w:bidi="ar-SA"/>
              </w:rPr>
              <w:t>14,31</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572,40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Atum em conserva (Lata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Atum ralado, conservado em óleo vegetal comestível. Rotulagem de acordo com a legislação. Validade mínima de 12 meses a contar a partir da data de entrega à unidade requisitante. Lata c/ 170g.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170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1786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6,39</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11.412,54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Azeite de oliva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Azeite de oliva extra virgem, com dispositivo que permita seu fechamento após abertura da embalagem. Nível de acidez 0,5%. Rotulagem em conformidade à legislação vigente. Deverá apresentar validade mínima de 12 meses a partir da data de entrega à unidade requisitante. Garrafa com 500mL.</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Garrafa 500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831</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21,02</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17.467,62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Azeitonas (Balde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Azeitonas verdes em conserva. Rotulagem de acordo com a legislação. Balde c/ 2kg.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2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36,74</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734,80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Batata palha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Batata palha, fina, sequinha e crocante.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químicas ou biológicas que coloquem em risco a saúde do consumidor. Ausência de sujidades, parasitas e larvas. Embalagem conforme legislação vigente. O produto deve ser isento de corantes. Pacote com 500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15,68</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3.136,00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250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1626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rFonts w:eastAsia="Times New Roman" w:cs="Tahoma"/>
                <w:b/>
                <w:bCs/>
                <w:color w:val="00000A"/>
                <w:sz w:val="14"/>
                <w:szCs w:val="14"/>
                <w:lang w:val="pt-BR" w:eastAsia="pt-BR" w:bidi="ar-SA"/>
              </w:rPr>
              <w:t>5,48</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rFonts w:ascii="Arial" w:hAnsi="Arial" w:eastAsia="Times New Roman" w:cs="Tahoma"/>
                <w:b/>
                <w:b/>
                <w:bCs/>
                <w:color w:val="00000A"/>
                <w:sz w:val="14"/>
                <w:szCs w:val="14"/>
                <w:lang w:val="pt-BR" w:eastAsia="pt-BR" w:bidi="ar-SA"/>
              </w:rPr>
            </w:pPr>
            <w:r>
              <w:rPr>
                <w:rFonts w:eastAsia="Times New Roman" w:cs="Tahoma" w:ascii="Arial" w:hAnsi="Arial"/>
                <w:b/>
                <w:bCs/>
                <w:color w:val="00000A"/>
                <w:sz w:val="14"/>
                <w:szCs w:val="14"/>
                <w:lang w:val="pt-BR" w:eastAsia="pt-BR" w:bidi="ar-SA"/>
              </w:rPr>
            </w:r>
          </w:p>
          <w:p>
            <w:pPr>
              <w:pStyle w:val="Contedodatabela"/>
              <w:jc w:val="center"/>
              <w:rPr/>
            </w:pPr>
            <w:r>
              <w:rPr>
                <w:rFonts w:eastAsia="Times New Roman" w:cs="Tahoma"/>
                <w:b/>
                <w:bCs/>
                <w:color w:val="00000A"/>
                <w:sz w:val="14"/>
                <w:szCs w:val="14"/>
                <w:lang w:val="pt-BR" w:eastAsia="pt-BR" w:bidi="ar-SA"/>
              </w:rPr>
              <w:t>8.910,48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Coco ralado (Pacote com 100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4,65</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1.395,00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Creme de leite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Creme de leite, 1ªqualidade. Com S.I.F. Data de validade mínima de 3 meses a contar da data de entrega do produto. Rotulagem em conformidade à legislação. Caixa com 200g.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854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3,02</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2.579,08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Goiabada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Goiabada em massa, tipo de corte. Embalada potes plásticos resistentes, não amassados, não estufados, que garantam a integridade do produto, até o momento do consumo, contendo 400g,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400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rFonts w:eastAsia="Times New Roman" w:cs="Tahoma"/>
                <w:b/>
                <w:bCs/>
                <w:color w:val="00000A"/>
                <w:sz w:val="14"/>
                <w:szCs w:val="14"/>
                <w:lang w:val="pt-BR" w:eastAsia="pt-BR" w:bidi="ar-SA"/>
              </w:rPr>
              <w:t>4,83</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289,80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263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Leite condensado (Embalagem com 395g)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Leite Condensado, acondicionado em embalagem Tetra pack, 1ª qualidade. O produto deverá ter validade mínima de 6 meses a partir da data de entrega. Embalagem de 395g.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395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270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4,62</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1.247,40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264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Leite de coco (Unidade com 200ml)</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Leite de coco. Rotulagem em conformidade à legislação vigente. Deverá apresentar validade mínima de 12 meses a partir da data de entrega à unidade requisitante. Embalagem de 200ml.</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200 ml</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203</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3,59</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728,77</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265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Leite em pó tipo 1 (Pacote com 200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200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674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spacing w:before="0" w:after="0"/>
              <w:jc w:val="center"/>
              <w:rPr/>
            </w:pPr>
            <w:r>
              <w:rPr>
                <w:rFonts w:eastAsia="Times New Roman" w:cs="Tahoma"/>
                <w:b/>
                <w:bCs/>
                <w:color w:val="00000A"/>
                <w:sz w:val="14"/>
                <w:szCs w:val="14"/>
                <w:lang w:val="pt-BR" w:eastAsia="pt-BR" w:bidi="ar-SA"/>
              </w:rPr>
              <w:t>5,58</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3.760,92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266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Leite em pó tipo 2 (Pacote com 200g)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200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2968</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spacing w:before="0" w:after="0"/>
              <w:jc w:val="center"/>
              <w:rPr/>
            </w:pPr>
            <w:r>
              <w:rPr>
                <w:rFonts w:eastAsia="Times New Roman" w:cs="Tahoma"/>
                <w:b/>
                <w:bCs/>
                <w:color w:val="00000A"/>
                <w:sz w:val="14"/>
                <w:szCs w:val="14"/>
                <w:lang w:val="pt-BR" w:eastAsia="pt-BR" w:bidi="ar-SA"/>
              </w:rPr>
              <w:t>4,62</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13.712,16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267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Leite líquido (Caixa com 1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Leite líquido semidesnatado, SEM LACTOSE. Rotulagem em conformidade à legislação vigente, com S.I.F. O produto deverá ter validade mínima de 06 meses a partir da data de entrega. Embalagem tipo tetra pack, de 1 litro.</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Caixa c/ 01 litro</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402</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4,66</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1.873,32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268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Melhorador de farinha (Pote com 150g)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Melhorador de farinha em pasta para produção de pães. Pote com 150g. Referência ADIPASTA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150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3,93</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94,32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269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Óleo vegetal de soja (Garrafa com 900 ml)</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Óleo vegetal comestível, de Soja, TIPO 1. Rotulagem de acordo com a legislação vigente. Deverá apresentar validade mínima de 04 meses a partir da data de entrega à unidade requisitante. Garrafa c/ 900ml.</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Garrafa 900 ml</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2068</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4,44</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9.181,92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270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Óleo emulsificante (Bisnaga com 100ml)</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Óleo emulsificante para produção de pães. Preparado para produtos de panificação com aspecto líquido oleoso bege, homogêneo, livre de matérias estranhas, odor e sabor característicos com padrão. Bisnaga com 100mL.</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100 ml</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8,63</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207,12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271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Proteína texturizada de soja (Pacote com 400g)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400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1541</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4,67</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7.196,47</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272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Purê de batatas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Purê de batata instantâneo. Flocos de batata desidratada que quando hidratados resultam em um purê de textura macia. Marca nacionalmente conhecida. Rotulagem de acordo com a legislação vigente. Deverá apresentar validade mínima de 6 meses a partir da data de entrega à unidade requisitante.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812</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28,63</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23.247,56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273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Queijo parmesão (Pacote com 50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Queijo Parmesão Ralado, 1º qualidade. Rotulagem de acordo com a legislação vigente. Prazo de validade mínimo 04 meses a contar a partir da data de entrega. Pacote 50g.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60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3,65</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219,00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274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Uva passa (Caixa com 10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Uva passa preta, sem semente. Rotulagem de acordo com a legislação vigente. Caixa com 10 Kg.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Caixa c/ 10 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15</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185,03</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2.775,45</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122.225,99</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rPr>
          <w:sz w:val="20"/>
          <w:szCs w:val="20"/>
        </w:rPr>
      </w:pPr>
      <w:r>
        <w:rPr>
          <w:sz w:val="20"/>
          <w:szCs w:val="20"/>
        </w:rPr>
      </w:r>
    </w:p>
    <w:p>
      <w:pPr>
        <w:pStyle w:val="Contedodatabela"/>
        <w:numPr>
          <w:ilvl w:val="0"/>
          <w:numId w:val="0"/>
        </w:numPr>
        <w:spacing w:lineRule="auto" w:line="240" w:before="0" w:after="0"/>
        <w:ind w:left="720" w:hanging="0"/>
        <w:textAlignment w:val="center"/>
        <w:rPr>
          <w:rStyle w:val="Fontepargpadro"/>
          <w:rFonts w:ascii="Arial" w:hAnsi="Arial"/>
          <w:b/>
          <w:b/>
          <w:bCs/>
          <w:sz w:val="16"/>
          <w:szCs w:val="16"/>
        </w:rPr>
      </w:pPr>
      <w:r>
        <w:rPr>
          <w:rFonts w:ascii="Arial" w:hAnsi="Arial"/>
          <w:b/>
          <w:bCs/>
          <w:sz w:val="16"/>
          <w:szCs w:val="16"/>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84"/>
        <w:gridCol w:w="834"/>
        <w:gridCol w:w="1025"/>
        <w:gridCol w:w="1135"/>
      </w:tblGrid>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22: CAMPUS PET. ZONA RURAL – Leguminosas e Oleaginosas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Descrição</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Unidade</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Qtd.</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 Unitário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275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Amendoim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Amendoim cru, ao natural, com cascas íntegras, sem partes amolecidas. Rotulagem de acordo com a legislação. Pacote com 500g.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9,05</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905,00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276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Castanha de caju (Pacote com 100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Castanha de caju sem casca ou lascas de cascas aderidas, inteira, sem sal, sem sujeiras, sem mofos, sem pontos de podridão, rígida, da melhor qualidade. Produzida, embalada e entregue conforme a legislação sanitária vigente. Validade mínima de 6 meses a contar da data de recebimento. Pacote com 100g.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100 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10,85</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2.170,00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277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Ervilha em conserva (Pacote com 2kg)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Ervilha em conserva, grãos inteiros, líquido translúcido, livre de impurezas. Validade mínima de 6 meses a partir da data de entrega. Pacote com 2kg.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 kg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19,41</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213,51</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278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Feijão carioca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6998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4,15</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29.041,70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279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Feijão de corda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Feijão de corda/fradinho/macáçar, tipo 1, limpo. Industrializado. Rotulagem em conformidade à legislação vigente. Deverá apresentar validade mínima de 04 meses a partir da data de entrega. Embalagem com 1 Kg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910</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6,05</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5.505,50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280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Feijão preto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Feijão preto tipo 1, industrializado. Rotulagem em conformidade à legislação vigente. Deverá apresentar validade mínima de 04 meses a partir da data de entrega à unidade requisitante. Embalagem com 01 Kg.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4049</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6,14</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24.860,86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281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Milho em conserva tipo 1 (Unidade com 2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2 kg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130</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16,01</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2.081,30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282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Milho em conserva tipo 2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Milho verde em conserva. Produzidos, embalados, rotulados e transportados em conformidade com as normas da legislação sanitária vigente. Data de validade mínima de 6 meses a contar da data de entrega do produto à unidade requisitante. Embalagem de 200 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200 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20</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2,93</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58,60</w:t>
            </w:r>
          </w:p>
        </w:tc>
      </w:tr>
      <w:tr>
        <w:trPr/>
        <w:tc>
          <w:tcPr>
            <w:tcW w:w="8674"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13" w:type="dxa"/>
            </w:tcMar>
            <w:vAlign w:val="center"/>
          </w:tcPr>
          <w:p>
            <w:pPr>
              <w:pStyle w:val="Contedodatabela"/>
              <w:jc w:val="center"/>
              <w:rPr/>
            </w:pPr>
            <w:r>
              <w:rPr>
                <w:rFonts w:eastAsia="Times New Roman" w:cs="Tahoma"/>
                <w:b/>
                <w:bCs/>
                <w:color w:val="00000A"/>
                <w:sz w:val="14"/>
                <w:szCs w:val="14"/>
                <w:lang w:val="pt-BR" w:eastAsia="pt-BR" w:bidi="ar-SA"/>
              </w:rPr>
              <w:t>64.836,47</w:t>
            </w:r>
          </w:p>
        </w:tc>
      </w:tr>
      <w:tr>
        <w:trPr/>
        <w:tc>
          <w:tcPr>
            <w:tcW w:w="9809"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30"/>
        <w:gridCol w:w="900"/>
        <w:gridCol w:w="1017"/>
        <w:gridCol w:w="4"/>
        <w:gridCol w:w="1127"/>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23: CAMPUS PET. ZONA RURAL – Massas Alimentícias, Macarrão e Biscoitos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Descrição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 Unitário</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Biscoito tipo 1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Biscoito doce maisena, apresentação retangular, sem cheiro. Rotulagem de acordo com a legislação. Validade mínima de 6 meses a partir da data de entrega. Caixa c/ 20 pct de 400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c/ 20 pacotes</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b/>
                <w:bCs/>
                <w:sz w:val="14"/>
                <w:szCs w:val="14"/>
              </w:rPr>
              <w:t>80,75</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807,50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Biscoito tipo 2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Biscoito salgado cream cracker. Rotulagem de acordo com a legislação. Validade mínima de 6 meses a partir da data de entrega. Caixa c/ 20 pct de 400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c/ 20 pacotes</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b/>
                <w:bCs/>
                <w:sz w:val="14"/>
                <w:szCs w:val="14"/>
              </w:rPr>
              <w:t>69,80</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1.535,60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Biscoito tipo 3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Biscoito Integral tipo cream Cracker, com validade de 2 anos a partir da data de entrega, livre de fungos, sem unidades quebradas, embalagem integra, de boa qualidade. Caixa c/ 20 pct de 400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c/ 20 pacotes</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85,95</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859,50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tipo 1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fino. tipo espaguete. SEM OVOS, de 1ª qualidade, íntegro. Rotulagem de acordo com a legislação vigente. Deverá apresentar validade mínima de 10 meses a partir da data de entrega à unidade requisitante. Pacote com 500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1186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2,42</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2.870,12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287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Macarrão tipo 4 (Pacote com 500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Macarrão curto, INTEGRAL, com ovos, tipo parafuso, submetido a processo de secagem, acondicionado em embalagens apropriadas. Prazo de validade mínimo 06 meses a contar a partir da data de entrega. Rotulagem conforme legislação vigente. Pacote com 500 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50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4,94</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247,00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288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Macarrão tipo 5 (Pacote com 500g)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Macarrão tipo Penne. Massa com ovos, pacote de 500 g. Padrão superior. Prazo de validade mínimo 06 meses a contar a partir da data de entrega. Rotulagem conforme legislação vigente.</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50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4,62</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231,00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289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Massa Sêmola (Pacote com 500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Massa de Sêmola para lasanha. Rotulagem de acordo com a legislação vigente. Deverá apresentar validade mínima de 6 meses a partir da data de entrega à unidade requisitante. Pacote 500 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505</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5,93</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2.994,65</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13" w:type="dxa"/>
            </w:tcMar>
            <w:vAlign w:val="center"/>
          </w:tcPr>
          <w:p>
            <w:pPr>
              <w:pStyle w:val="Contedodatabela"/>
              <w:jc w:val="center"/>
              <w:rPr/>
            </w:pPr>
            <w:r>
              <w:rPr>
                <w:b/>
                <w:bCs/>
                <w:sz w:val="14"/>
                <w:szCs w:val="14"/>
              </w:rPr>
              <w:t>9.545,37</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rStyle w:val="Fontepargpadro"/>
          <w:rFonts w:ascii="Arial" w:hAnsi="Arial"/>
          <w:b/>
          <w:b/>
          <w:bCs/>
          <w:sz w:val="20"/>
          <w:szCs w:val="20"/>
        </w:rPr>
      </w:pPr>
      <w:r>
        <w:rPr>
          <w:rFonts w:ascii="Arial" w:hAnsi="Arial"/>
          <w:b/>
          <w:bCs/>
          <w:sz w:val="20"/>
          <w:szCs w:val="20"/>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30"/>
        <w:gridCol w:w="900"/>
        <w:gridCol w:w="1017"/>
        <w:gridCol w:w="4"/>
        <w:gridCol w:w="1127"/>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24: CAMPUS PET. ZONA RURAL – Condimentos, Temperos e Molhos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Descrição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 Unitário</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Alecrim (Pacote com 30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Alecrim desidratado, com aplicação em culinária, isento de materiais estranhos a sua espécie acondicionado em saco plástico transparente atóxico, resistente e hermeticamente vedado. Pacote 30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30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3,33</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199,80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Canela em pó (Pote com 35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Canela em pó, fina, nova, sem sujidades, com cheiro característico. Deverá apresentar validade mínima de 12 meses a partir da data de entrega à unidade requisitante. Rotulagem de acordo com a legislação. Potes com 35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35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211</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658,32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Colorau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1159</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5,38</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6.235,42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Cominho em pó (Pacote com 30g)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30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2,04</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73,44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Cravo (Pacote com 40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Cravo da índia, com aplicação em culinária, isento de materiais estranhos a sua espécie, acondicionado em saco plástico transparente atóxico, resistente e hermeticamente vedado. Rotulagem de acordo com a legislação. Data de validade mínima de 6 meses a contar da data de entrega do produto. Pacote 40g.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40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58</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8,65</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501,70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Extrato de tomate (Pacote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724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12,74</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9.223,76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Louro em folhas (Pacote com 5g)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rStyle w:val="Nfaseforte"/>
                <w:b w:val="false"/>
                <w:bCs w:val="false"/>
                <w:sz w:val="14"/>
                <w:szCs w:val="14"/>
              </w:rPr>
              <w:t xml:space="preserve">Louro em folhas </w:t>
            </w:r>
            <w:r>
              <w:rPr>
                <w:rStyle w:val="Fontepargpadro"/>
                <w:sz w:val="14"/>
                <w:szCs w:val="14"/>
              </w:rPr>
              <w:t>Condimento em folhas desidratadas. Validade mínima de 6 meses a partir da data de entrega . Pacote com 5 gramas.</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1,94</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38,80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297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Maionese (Unidade com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Maionese industrializada a base de leite, marca nacionalmente conhecida. Rotulagem de acordo com a legislação vigente. Deverá apresentar validade mínima de 6 meses a partir da data de entrega à unidade requisitante. Embalagem 1 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c/ 1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8,78</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175,60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298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Manjericão (Pacote com 7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Manjericão desidratado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7g.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7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483</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1,96</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946,68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299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Molho de soja (Garrafa com 1 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Molho de Soja/Shoyu. Sem glutamato monossódico. Rotulagem de acordo com a legislação. Validade mínima de 12 meses a partir da data de entrega à unidade requisitante. Garrafa de 1L.</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Garrafa de 1 litro</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274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14,29</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3.915,46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Orégano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82</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17,59</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1.442,38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Pimenta do reino (Pacote com 15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Pimenta do reino em pó, pura,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com 15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15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728</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3,29</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2.395,12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Sal de cozinha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Sal de cozinha, moído, branco, de 1ª qualidade, tratamento diferenciado: iodado. Rotulagem de acordo com a legislação vigente. Deverá conter validade mínima de 01 ano a partir da data da entrega à unidade requisitante. Pacote com 01 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1801</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0,82</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1.476,82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303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Salsa desidratada (Pacote com 250g)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Salsa desidratada,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 250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250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137</w:t>
            </w:r>
          </w:p>
        </w:tc>
        <w:tc>
          <w:tcPr>
            <w:tcW w:w="1021" w:type="dxa"/>
            <w:gridSpan w:val="2"/>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8,56</w:t>
            </w:r>
          </w:p>
        </w:tc>
        <w:tc>
          <w:tcPr>
            <w:tcW w:w="1127"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1.172,72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304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Vinagre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Garrafa 500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863</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3.469,26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305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Cebola em pó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rStyle w:val="Nfaseforte"/>
                <w:b w:val="false"/>
                <w:bCs w:val="false"/>
                <w:sz w:val="14"/>
                <w:szCs w:val="14"/>
              </w:rPr>
              <w:t xml:space="preserve">Cebola em pó : </w:t>
            </w:r>
            <w:r>
              <w:rPr>
                <w:rStyle w:val="Fontepargpadro"/>
                <w:sz w:val="14"/>
                <w:szCs w:val="14"/>
              </w:rPr>
              <w:t>Cebola em pó pura (100% cebola). Embalagem com 1Kg.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41,17</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1.399,78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306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Alho em pó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Alho em pó puro (100% alho). Embalagem com 1Kg.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34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42,30</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1.438,20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307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Condimento tipo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Condimento calabresa. Condimento para aplicação em linguiça calabresa e outros embutidos. Composição principal: Sal, aromas naturais e especiarias. Deve ter validade mínima de 10 meses a contar da data da entrega. Embalagens de 1kg.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28,88</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28,88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308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Condimento tipo 2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Condimento califórnia. Condimento preparado para presunto, com especiarias e sal. Aplicação em presuntos. Embalagem com 1Kg.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24,47</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24,47</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13" w:type="dxa"/>
            </w:tcMar>
            <w:vAlign w:val="center"/>
          </w:tcPr>
          <w:p>
            <w:pPr>
              <w:pStyle w:val="Contedodatabela"/>
              <w:jc w:val="center"/>
              <w:rPr/>
            </w:pPr>
            <w:r>
              <w:rPr>
                <w:rFonts w:eastAsia="Times New Roman" w:cs="Tahoma"/>
                <w:b/>
                <w:bCs/>
                <w:color w:val="00000A"/>
                <w:sz w:val="14"/>
                <w:szCs w:val="14"/>
                <w:lang w:val="pt-BR" w:eastAsia="pt-BR" w:bidi="ar-SA"/>
              </w:rPr>
              <w:t>34.816,61</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30"/>
        <w:gridCol w:w="900"/>
        <w:gridCol w:w="960"/>
        <w:gridCol w:w="1188"/>
      </w:tblGrid>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25: CAMPUS PET. ZONA RURAL – Agroindústria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Descrição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Qtd.</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 Unitário</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Cacau em pó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Cacau em pó solúvel – 100% Cacau. Produto sem adição de açúcar e sem sódio. Embalagem interna de papel e externa de caixa. Rotulagem em conformidade à legislação vigente. Validade mínima de 6 meses a partir da data de entrega. Caixa com 200g.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02</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17,27</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34,54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Fermento biológico tipo 2 (Pacote de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Fermento biológico seco, instantâneo – Células de leveduras Sacharomyces cereviseae e monoestereato de sorbitana. Não necessita ser dissolvido e não necessita de refrigeração. Embalagem de 500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18,96</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303,36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Fermento químico (Pote com 100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Fermento em pó químico. Aplicação em bolos. Rotulagem de acordo com a legislação. Pote 100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Pote 100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3,90</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351,00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Vinho tinto (Garrafa com 750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Vinho tinto seco, para preparações culinárias. Rotulagem de acordo com a legislação vigente. Garrafa com 750 mL.</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Garrafa 750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18,35</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367,00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313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Ameixa seca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Ameixa, seca, sem caroço de 1ª qualidade, acondicionada em embalagem original de fábrica.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Embalagem</w:t>
            </w:r>
          </w:p>
          <w:p>
            <w:pPr>
              <w:pStyle w:val="Contedodatabela"/>
              <w:jc w:val="center"/>
              <w:rPr/>
            </w:pPr>
            <w:r>
              <w:rPr>
                <w:b/>
                <w:bCs/>
                <w:sz w:val="14"/>
                <w:szCs w:val="14"/>
              </w:rPr>
              <w:t>250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10,41</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416,40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314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Bicarbonato de sódio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Bicarbonato de sódio, embalagem de 100 g. Validade mínima de 10 meses a partir da data de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Embalagem</w:t>
            </w:r>
          </w:p>
          <w:p>
            <w:pPr>
              <w:pStyle w:val="Contedodatabela"/>
              <w:jc w:val="center"/>
              <w:rPr/>
            </w:pPr>
            <w:r>
              <w:rPr>
                <w:b/>
                <w:bCs/>
                <w:sz w:val="14"/>
                <w:szCs w:val="14"/>
              </w:rPr>
              <w:t>100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4,08</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81,60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315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tipo 1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Alimentício Líquido – Cor amarela. Com Registro no Ministério da Saúde conforme Resolução ANVISA nº 23 de 15 de março de 2000. Validade mínima de 12 meses a partir da data da entrega. Frascos de 10 ml.</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Frasco 10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5,00</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316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tipo 2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Alimentício Líquido – Cor azul. Com Registro no Ministério da Saúde conforme Resolução ANVISA nº 23 de 15 de março de 2000. Validade mínima de 12 meses a partir da data da entrega. Frascos de 10 ml</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Frasco 10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5,00</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tipo 3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Alimentício Líquido – Cor lilás. Com Registro no Ministério da Saúde conforme Resolução ANVISA nº 23 de 15 de março de 2000. Validade mínima de 12 meses a partir da data da entrega. Frascos de 10 ml.</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Frasco 10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5,00</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tipo 4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Alimentício Líquido – Cor verde. Com Registro no Ministério da Saúde conforme Resolução ANVISA nº 23 de 15 de março de 2000. Validade mínima de 12 meses a partir da data da entrega. Frascos de 10 ml.</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Frasco 10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5,00</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tipo 5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Corante natural de Urucum líquido: Corante vegetal de urucum para fins alimentícios. Validade mínima de 6 meses a partir da data da entrega. Embalagem de 1 litro.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 litro</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23,25</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279,00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Polvilho azedo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Polvilho azedo – polvilho de mandioca. Validade mínima de 6 meses a partir da entrega. Deve conter na embalagem especificação do produto. Embalagem de 500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Embalagem</w:t>
            </w:r>
          </w:p>
          <w:p>
            <w:pPr>
              <w:pStyle w:val="Contedodatabela"/>
              <w:jc w:val="center"/>
              <w:rPr/>
            </w:pPr>
            <w:r>
              <w:rPr>
                <w:b/>
                <w:bCs/>
                <w:sz w:val="14"/>
                <w:szCs w:val="14"/>
              </w:rPr>
              <w:t>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11,91</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786,06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Realçador de sabor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Realçador de sabor (glutamato monossódico) realça o sabor dos alimentos sem salgar. Validade mínima de 1 ano a partir da data de entrega. Frasco de 100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Frasco 100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02</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8,35</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16,70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Sal de cura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Sal de cura (nitrito de sódio). Aplicação em produtos cárneos. Embalagem de 1 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Embalagem 1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01</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13,44</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13,44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Ácido cítrico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Ácido Cítrico, uso alimentício, embalagem com 100 g. Validade mínima de 1 ano a partir da data de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Embalagem</w:t>
            </w:r>
          </w:p>
          <w:p>
            <w:pPr>
              <w:pStyle w:val="Contedodatabela"/>
              <w:jc w:val="center"/>
              <w:rPr/>
            </w:pPr>
            <w:r>
              <w:rPr>
                <w:b/>
                <w:bCs/>
                <w:sz w:val="14"/>
                <w:szCs w:val="14"/>
              </w:rPr>
              <w:t>100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04</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16,61</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66,44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Gelatina sem sabor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Gelatina em pó sem sabor, também conhecida como gelatina neutra. Embalagem de 1 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Embalagem 1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01</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54,33</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54,33</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325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Glicose de milho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Glicose de milho, produto de origem vegetal, embalagem com 350 gramas, validade mínima de 06 (seis) meses a partir da data de entrega.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Embalagem</w:t>
            </w:r>
          </w:p>
          <w:p>
            <w:pPr>
              <w:pStyle w:val="Contedodatabela"/>
              <w:jc w:val="center"/>
              <w:rPr/>
            </w:pPr>
            <w:r>
              <w:rPr>
                <w:b/>
                <w:bCs/>
                <w:sz w:val="14"/>
                <w:szCs w:val="14"/>
              </w:rPr>
              <w:t>350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03</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14,23</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42,69</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326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Pectina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Pectina em pó, ideal para preparo de geleias. Validade mínima de 1 ano a partir da data de entrega. Pote de 50g.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Pote 50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13,57</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271,40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327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Aroma tipo 1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Aroma líquido, sabor coco. Aplicação em iogurtes. Com registro no ministério da Saúde. Validade mínima de 10 meses a partir da data de entrega. Embalagem de 1 litro.</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Litro</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06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21,21</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127,26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328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Aroma tipo 2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Aroma líquido, sabor morango. Aplicação em iogurtes. Com registro no ministério da Saúde. Validade mínima de 10 meses a partir da data de entrega. Embalagem de 1 litro.</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Litro</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06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21,21</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127,26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329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Aroma tipo 3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Essência líquida para panetone. Deve ser límpida e homogênea. A rotulagem deve conter identificação, procedência, informações nutricionais, número de lote e data de validade. Validade mínima de 6 meses a partir da data da entrega no Campus. Frasco de 30 ml</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Frasco 30 ml</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25</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4,49</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112,25</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330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Saborizante tipo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Saborizante para uso em iogurte – pó sabor abacaxi. Validade mínima de 1 ano a partir da data de entrega. Deve conter na embalagem especificação do produto. Embalagem de 1Kg.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06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33,02</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198,12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331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Saborizante tipo 2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Saborizante para uso em iogurte – pó sabor ameixa preta. Validade mínima de 1 ano a partir da data de entrega. Deve conter na embalagem especificação do produto. Embalagem de 1Kg.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06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33,02</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198,12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332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Saborizante tipo 3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Saborizante para uso em iogurte – pó sabor morango. Validade mínima de 1 ano a partir da data de entrega. Deve conter na embalagem especificação do produto. Embalagem de 1Kg.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06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33,02</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198,12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333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Frutas cristalizadas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Frutas cristalizadas formado por mistura de mamão, laranja, figo e abacaxi no caso de misturas de frutas, em que não haja predominância significativa de nenhuma delas (em peso).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Embalagem</w:t>
            </w:r>
          </w:p>
          <w:p>
            <w:pPr>
              <w:pStyle w:val="Contedodatabela"/>
              <w:jc w:val="center"/>
              <w:rPr/>
            </w:pPr>
            <w:r>
              <w:rPr>
                <w:b/>
                <w:bCs/>
                <w:sz w:val="14"/>
                <w:szCs w:val="14"/>
              </w:rPr>
              <w:t>250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106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6,70</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710,20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334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Creme tipo Chantilly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Creme tipo chantilly, Ideal para recheios e coberturas. Validade mínima de 6 meses a partir da data de entrega. Deve conter na embalagem especificação do produto. Embalagem de 1L.</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Litro</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24</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17,11</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410,64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335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Chocolate branco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Chocolate branco, tipo cobertura, apresentado em barra fracionada, sem necessidade de sofrer choque térmico ou temperagem. Destinada a produção de bombons, trufas, ovos de páscoa, sobremesas em geral. Barra de 1 kg, padrão Harald ou superior.</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08</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27,78</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222,24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336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Chocolate meio amargo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Chocolate meio amargo, tipo cobertura, apresentado em barra fracionada, sem necessidade de sofrer choque térmico ou temperagem. Destinada a produção de bombons, trufas, ovos de páscoa, sobremesas em geral. Barra de 1 kg, padrão Harald ou superior.</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31,30</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313,00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337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Tripa suína salgada (Maço)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Tripa suína salgada calibre 28 a 32 mm, maço com 60 metros</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60 metros</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02</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59,95</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119,90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338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Cereja em calda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Cereja em calda. Embalagem de 100g.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100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9,19</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183,80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339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Chocolate em pó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28</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16,05</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449,40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340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Cloreto de cálcio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Cloreto de cálcio, líquido alimentício a 50%. Usado na elaboração de queijos. Embalagem de 1 litro</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Litro</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10,19</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101,90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341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Queijo catupiry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Queijo catupiry. Sachê de 500g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500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17,02</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442,52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342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Fermento lácteo tipo 1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Fermento lácteo mesofílico liofilizado. Fermento liofilizado DVS com cepas de Streptococus thermophilus, Lactobacilus lactis subsp. Lactis e/ou Lactococcus lactis subsp. Cremoris. Aplicação em queijos. Envelope para 500L de leite. Referência: CHR HANSEN ou superior</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12</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61,37</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736,44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343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Fermento lácteo tipo 2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Fermento lácteo termofílico para iogurte. Fermento lácteo termofílico concentrado liofilizado DVS com Lactobacilus bulgaricus e Streptococus thermophylus. Envelope para 500 litros de leite. Referência: CHR HANSEN.</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12</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58,95</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707,40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344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Coalho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Coalho líquido com enzima quimosina, poder coagulante 1:3000 embalagem de 200 ml.</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200 ml</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34</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10,57</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359,38</w:t>
            </w:r>
          </w:p>
        </w:tc>
      </w:tr>
      <w:tr>
        <w:trPr/>
        <w:tc>
          <w:tcPr>
            <w:tcW w:w="8621"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13" w:type="dxa"/>
            </w:tcMar>
            <w:vAlign w:val="center"/>
          </w:tcPr>
          <w:p>
            <w:pPr>
              <w:pStyle w:val="Contedodatabela"/>
              <w:jc w:val="center"/>
              <w:rPr/>
            </w:pPr>
            <w:r>
              <w:rPr>
                <w:rFonts w:eastAsia="Times New Roman" w:cs="Tahoma"/>
                <w:b/>
                <w:bCs/>
                <w:color w:val="00000A"/>
                <w:sz w:val="14"/>
                <w:szCs w:val="14"/>
                <w:lang w:val="pt-BR" w:eastAsia="pt-BR" w:bidi="ar-SA"/>
              </w:rPr>
              <w:t>9.001,91</w:t>
            </w:r>
          </w:p>
        </w:tc>
      </w:tr>
      <w:tr>
        <w:trPr/>
        <w:tc>
          <w:tcPr>
            <w:tcW w:w="9809"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sz w:val="20"/>
          <w:szCs w:val="20"/>
        </w:rPr>
      </w:pPr>
      <w:r>
        <w:rPr>
          <w:sz w:val="20"/>
          <w:szCs w:val="20"/>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30"/>
        <w:gridCol w:w="900"/>
        <w:gridCol w:w="960"/>
        <w:gridCol w:w="1188"/>
      </w:tblGrid>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26: CAMPUS PET. ZONA RURAL – Hortifruti</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Descrição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Qtd.</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 Unitário</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Abacaxi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Abacaxi in natura (Ananas comosus), tamanho médio, com polpas firmes e intactas, coloração uniforme, grau de maturação madura. Unidade de fornecimento: Quilograma.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679</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4,13</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2.804,27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rFonts w:ascii="Arial" w:hAnsi="Arial"/>
                <w:sz w:val="14"/>
                <w:szCs w:val="14"/>
              </w:rPr>
            </w:pPr>
            <w:r>
              <w:rPr>
                <w:rFonts w:ascii="Arial" w:hAnsi="Arial"/>
                <w:sz w:val="14"/>
                <w:szCs w:val="14"/>
              </w:rPr>
            </w:r>
          </w:p>
          <w:p>
            <w:pPr>
              <w:pStyle w:val="Contedodatabela"/>
              <w:jc w:val="center"/>
              <w:rPr/>
            </w:pPr>
            <w:r>
              <w:rPr>
                <w:sz w:val="14"/>
                <w:szCs w:val="14"/>
              </w:rPr>
              <w:t>346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Abóbora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Abóbora nova, firme, sem machucados, sem partes escurecidas ou amolecidas. Unidade de fornecimento: Quilograma.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5564</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2,81</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15.634,84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Abobrinha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Abobrinha brasileira. Produtos sãos, limpos e de boa qualidade, sem defeitos, suficientemente desenvolvidos, com aspecto, aroma e sabor típicos da variedade e uniformidade no tamanho e na cor. Unidade de fornecimento: Quilograma.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803</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3,20</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2.569,60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Alface (Molhos)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Alface crespa, fresca, tamanho e coloração uniformes, bem desenvolvida. sem material terroso, livre de resíduos de fertilizantes, parasitos e larvas, sem danos provocados pelo manuseio ou transporte. Unidade: molho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5736</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2,42</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13.881,12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Alho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Alho in natura, aspecto físico em cabeça, tamanho grande. Unidade de fornecimento: Quilograma.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689</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17,54</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12.085,06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Banana da terra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Banana da terra. In natura. Unidade de fornecimento: Quilograma.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50</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4,57</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228,50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Banana prata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Banana prata. In natura. Unidade de fornecimento: Quilograma.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3021</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9.245,52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Batata inglesa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Batata inglesa in natura, 1ª qualidade, tamanho grande, lisa, sem brotos ou partes verdes. Unidade de fornecimento: Quilograma.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2872</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11.028,48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Batata-doce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Batata-doce roxa com casca firme, sem cortes, sem sinais de umidade e sem bolor. Unidade de fornecimento: Quilograma.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2673</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3,38</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9.034,74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Berinjela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Berinjela. Coloração intensa e característica, sem defeitos, brilhantes e com polpa macia e firme. Unidade de fornecimento: Quilograma.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574</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3,65</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2.095,10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Beterraba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Beterraba. Tamanho médio, produtos limpos, de boa qualidade, sem defeitos, suficientemente desenvolvidos com aspecto, aroma e sabor típicos da variedade e uniformidade no tamanho e na cor. Unidade de fornecimento: Quilograma.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860</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3,40</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2.924,00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Brócolis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Brócolis. Tipo ramoso, in natura. Tamanho e coloração uniformes. Sem áreas amareladas, sem sujidades ou outros defeitos que possam alterar sua aparência ou qualidade. Unidade de fornecimento: Quilograma.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2012</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13,28</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26.719,36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Cebolinha verde (Molhos)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Cebolinha verde, comum, limpa, tenra, com raiz, com coloração uniforme, com sabor e odor característico a cada variedade. Sem podridão, sem partes secas, murchas ou queimadas por sol ou frio. Bem desenvolvida. Unidade: molho.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1731</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2,11</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3.652,41</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Cebola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Cebola in natura, uso culinário, tipo branca, firme, sem manchas ou partes amolecidas. Unidade de fornecimento: Quilograma.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4035</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15.494,40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Cenoura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Cenoura, in natura, alaranjada, sem material terroso, livre de resíduos de fertilizantes, parasitos e larvas, sem danos provocados pelo manuseio ou transporte, sem brotos, grau de maturação madura. Unidade de fornecimento: Quilograma.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922</w:t>
            </w:r>
          </w:p>
        </w:tc>
        <w:tc>
          <w:tcPr>
            <w:tcW w:w="960"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3,37</w:t>
            </w:r>
          </w:p>
        </w:tc>
        <w:tc>
          <w:tcPr>
            <w:tcW w:w="1188"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3.107,14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Coentro (Molhos)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Coentro: Folhas verdes, fresca, sem traços de descoloração, íntegros e firmes, isentos de sujidades ou corpo estranhos. Unidade: molho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1741</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1,79</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3.116,39</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361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Couve flor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Couve-flor. Fresca, tamanho médio a grande, cabeças firmes e sem áreas escuras, com maturação uniforme e coloração amarelada, sem manchas de fungos.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1151</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9,09</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10.462,59</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362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Couve folha (Molhos)</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Couve folha, in natura, sem material terroso, livre de resíduos de fertilizantes, parasitos e larvas, sem danos provocados pelo manuseio ou transporte. Unidade: molho</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5736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2,15</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12.332,40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363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Goiaba vermelha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2899</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3,50</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10.146,50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364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Laranja pêra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Laranja pêra “in natura”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50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2,98</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149,00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365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Limão taiti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Limão taiti "in natura"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4,16</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208,00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366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Maçã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Maçã nacional, selecionada, in natura, tamanho médio.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50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6,28</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314,00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367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Mamão formosa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Mamão formosa, íntegro, sem machucados, sem furos, sem partes amolecidas, não muito maduros.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8520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18.829,20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368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Mandioca com casca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Mandioca, com casca, in natura, sem injurias, doenças, sem escurecimento. Raiz na cor marrom e massa branca.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2764</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3,25</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8.983,00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369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Mandioca sem casca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Mandioca, sem casca, resfriada, sem injurias, doenças, sem escurecimento. Embalada a vácuo. Rotulagem em conformidade à legislação vigente.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30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5,07</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152,10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370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Manga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rStyle w:val="Nfaseforte"/>
                <w:b w:val="false"/>
                <w:bCs w:val="false"/>
                <w:sz w:val="14"/>
                <w:szCs w:val="14"/>
              </w:rPr>
              <w:t xml:space="preserve">Manga: </w:t>
            </w:r>
            <w:r>
              <w:rPr>
                <w:rStyle w:val="Fontepargpadro"/>
                <w:sz w:val="14"/>
                <w:szCs w:val="14"/>
              </w:rPr>
              <w:t>Limpa, madura, tenra e sem fiapos. Casca lisa e brilhante, sem manchas, sem podridão, sem deformações. Bem desenvolvida com peso igual ou superior a 400g cada.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100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3,11</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311,00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371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Melancia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Melancia, in natura, sem machucados, íntegra, grande de 1ª qualidade tamanho e coloração uniforme.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2566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1,44</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3.695,04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372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Melão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Melão "amarelo". In natura.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9667</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2,44</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23.587,48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373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Milho verde em espiga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Milho verde em espigas com palhas íntegras, sem partes amolecidas ou estragadas.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100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221,00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374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Morango (Embalagem de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Morango in natura, separada por lotes homogêneos, sem defeitos graves (podridão, danos profundos, frutos passados) sem manchas ou deformação. Embalagem de 1 kg</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50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22,53</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1.126,50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375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Pepino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Pepino, in natura, coloração verde, firme, sem injúrias.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1147</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3,36</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3.853,92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376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Pimentão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Pimentão verde, in natura, novo, sem amassados, sem manchas ou furos.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349</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4,26</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1.486,74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377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Quiabo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Quiabo, in natura, de 1ª qualidade, tenros,fresco, verde, de colheita recente, sem sinais de amarelamento, com grau de maturação adequada, isento de substâncias terrosas, sujidades e corpos estranhos.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1147</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5,02</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5.757,94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378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Repolho Branco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Repolho Branco, in natura, 1ª qualidade, tamanho grande, sem manchas ou partes murchas.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860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3.913,00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379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Tangerina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Tangerina, tamanho médio, in natura.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50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5,18</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259,00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380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Tomate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Tomate vermelho paulista, graúdo, in natura, 1ª qualidade, sem machucados, sem furos, firmes. Maduro.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3501</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14.074,02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381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Tomate Cereja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Tomate cereja, 1ª qualidade, sem machucados, sem furos, firmes. Maduro.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5736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10,88</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62.407,68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382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Vagem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 xml:space="preserve">Vagem curta verde, tamanho e coloração uniformes, livre de material </w:t>
            </w:r>
            <w:bookmarkStart w:id="12" w:name="__DdeLink__12299_206177796"/>
            <w:bookmarkEnd w:id="12"/>
            <w:r>
              <w:rPr>
                <w:sz w:val="14"/>
                <w:szCs w:val="14"/>
              </w:rPr>
              <w:t>terroso, sem danos causados pelo manuseio ou transporte. Unidade de fornecimento: Quilograma.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2</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8,11</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16,22</w:t>
            </w:r>
          </w:p>
        </w:tc>
      </w:tr>
      <w:tr>
        <w:trPr/>
        <w:tc>
          <w:tcPr>
            <w:tcW w:w="8621"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8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13" w:type="dxa"/>
            </w:tcMar>
            <w:vAlign w:val="center"/>
          </w:tcPr>
          <w:p>
            <w:pPr>
              <w:pStyle w:val="Contedodatabela"/>
              <w:jc w:val="center"/>
              <w:rPr/>
            </w:pPr>
            <w:r>
              <w:rPr>
                <w:rFonts w:eastAsia="Times New Roman" w:cs="Tahoma"/>
                <w:b/>
                <w:bCs/>
                <w:color w:val="00000A"/>
                <w:sz w:val="14"/>
                <w:szCs w:val="14"/>
                <w:lang w:val="pt-BR" w:eastAsia="pt-BR" w:bidi="ar-SA"/>
              </w:rPr>
              <w:t>315.907,26</w:t>
            </w:r>
          </w:p>
        </w:tc>
      </w:tr>
      <w:tr>
        <w:trPr/>
        <w:tc>
          <w:tcPr>
            <w:tcW w:w="9809"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pPr>
      <w:r>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30"/>
        <w:gridCol w:w="900"/>
        <w:gridCol w:w="1017"/>
        <w:gridCol w:w="4"/>
        <w:gridCol w:w="1127"/>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27: CAMPUS PET. ZONA RURAL – Polpas de Fruta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Descrição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 Unitário</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11,18</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1.118,00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10,40</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1.040,00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3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11,10</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1.110,00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4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13,01</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1.301,00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387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5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100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11,65</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1.165,00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388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6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100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15,73</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1.573,00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sz w:val="14"/>
                <w:szCs w:val="14"/>
              </w:rPr>
              <w:t>389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7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14"/>
                <w:szCs w:val="14"/>
              </w:rPr>
              <w:t>100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12,85</w:t>
            </w:r>
          </w:p>
        </w:tc>
        <w:tc>
          <w:tcPr>
            <w:tcW w:w="112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1.285,00</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33FF99" w:val="clear"/>
            <w:tcMar>
              <w:left w:w="13" w:type="dxa"/>
            </w:tcMar>
            <w:vAlign w:val="center"/>
          </w:tcPr>
          <w:p>
            <w:pPr>
              <w:pStyle w:val="Contedodatabela"/>
              <w:jc w:val="center"/>
              <w:rPr/>
            </w:pPr>
            <w:r>
              <w:rPr>
                <w:rFonts w:eastAsia="Times New Roman" w:cs="Tahoma"/>
                <w:b/>
                <w:bCs/>
                <w:color w:val="00000A"/>
                <w:sz w:val="14"/>
                <w:szCs w:val="14"/>
                <w:lang w:val="pt-BR" w:eastAsia="pt-BR" w:bidi="ar-SA"/>
              </w:rPr>
              <w:t>8.592,00</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30"/>
        <w:gridCol w:w="900"/>
        <w:gridCol w:w="1017"/>
        <w:gridCol w:w="4"/>
        <w:gridCol w:w="1127"/>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ITEM 390 CAMPUS PET. ZONA RURAL – Padaria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Descrição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 Unitário</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Pão de cachorro quente (Pacote)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Pão para cachorro quente.(Deverá apresentar validade mínima de 15 (quinze) dias a partir da data de entrega). Embalagem plástica contendo 10 unidades cada pacote.</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com 10 unidades</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4.550,00</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r>
              <w:rPr>
                <w:b/>
                <w:bCs/>
                <w:iCs/>
                <w:color w:val="00000A"/>
                <w:sz w:val="16"/>
                <w:szCs w:val="16"/>
              </w:rPr>
              <w:t xml:space="preserve">Rodovia BR 235, KM 22, Projeto Senador Nilo Coelho N4, Petrolina/PE. </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6"/>
                <w:szCs w:val="16"/>
              </w:rPr>
              <w:t>Total estimado para os grupos 16 a 27 e Item 390</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FF99" w:val="clear"/>
            <w:tcMar>
              <w:left w:w="13" w:type="dxa"/>
            </w:tcMar>
            <w:vAlign w:val="center"/>
          </w:tcPr>
          <w:p>
            <w:pPr>
              <w:pStyle w:val="Contedodatabela"/>
              <w:jc w:val="center"/>
              <w:rPr/>
            </w:pPr>
            <w:r>
              <w:rPr>
                <w:b/>
                <w:bCs/>
                <w:sz w:val="16"/>
                <w:szCs w:val="16"/>
              </w:rPr>
              <w:t>1.631.465,60</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sz w:val="20"/>
          <w:szCs w:val="20"/>
        </w:rPr>
      </w:pPr>
      <w:r>
        <w:rPr>
          <w:sz w:val="20"/>
          <w:szCs w:val="20"/>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30"/>
        <w:gridCol w:w="900"/>
        <w:gridCol w:w="1017"/>
        <w:gridCol w:w="4"/>
        <w:gridCol w:w="1127"/>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28: CAMPUS FLORESTA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13" w:type="dxa"/>
            </w:tcMar>
            <w:vAlign w:val="center"/>
          </w:tcPr>
          <w:p>
            <w:pPr>
              <w:pStyle w:val="Contedodatabela"/>
              <w:spacing w:before="0" w:after="0"/>
              <w:jc w:val="center"/>
              <w:rPr/>
            </w:pPr>
            <w:r>
              <w:rPr>
                <w:b/>
                <w:bCs/>
                <w:sz w:val="14"/>
                <w:szCs w:val="14"/>
              </w:rPr>
              <w:t>Descrição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13"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13" w:type="dxa"/>
            </w:tcMar>
            <w:vAlign w:val="center"/>
          </w:tcPr>
          <w:p>
            <w:pPr>
              <w:pStyle w:val="Contedodatabela"/>
              <w:spacing w:before="0" w:after="0"/>
              <w:jc w:val="center"/>
              <w:rPr/>
            </w:pPr>
            <w:r>
              <w:rPr>
                <w:b/>
                <w:bCs/>
                <w:sz w:val="14"/>
                <w:szCs w:val="14"/>
              </w:rPr>
              <w:t>Valor Unitário</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b/>
                <w:bCs/>
                <w:sz w:val="14"/>
                <w:szCs w:val="14"/>
              </w:rPr>
              <w:t>2,59</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269,36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250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416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b/>
                <w:bCs/>
                <w:sz w:val="14"/>
                <w:szCs w:val="14"/>
              </w:rPr>
              <w:t>5,48</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2.279,68</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13" w:type="dxa"/>
            </w:tcMar>
            <w:vAlign w:val="center"/>
          </w:tcPr>
          <w:p>
            <w:pPr>
              <w:pStyle w:val="Contedodatabela"/>
              <w:jc w:val="center"/>
              <w:rPr/>
            </w:pPr>
            <w:r>
              <w:rPr>
                <w:rFonts w:eastAsia="Times New Roman" w:cs="Tahoma"/>
                <w:b/>
                <w:bCs/>
                <w:color w:val="00000A"/>
                <w:sz w:val="14"/>
                <w:szCs w:val="14"/>
                <w:lang w:val="pt-BR" w:eastAsia="pt-BR" w:bidi="ar-SA"/>
              </w:rPr>
              <w:t>2.549,04</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Contedodatabela"/>
              <w:spacing w:lineRule="auto" w:line="240" w:before="0" w:after="0"/>
              <w:rPr/>
            </w:pPr>
            <w:r>
              <w:rPr>
                <w:rStyle w:val="Fontepargpadro"/>
                <w:rFonts w:eastAsia="Times New Roman" w:cs="Tahoma"/>
                <w:iCs/>
                <w:color w:val="00000A"/>
                <w:sz w:val="16"/>
                <w:szCs w:val="16"/>
                <w:lang w:val="pt-BR" w:eastAsia="pt-BR" w:bidi="ar-SA"/>
              </w:rPr>
              <w:t>Rua Maria Luzia de Araújo Gomes Cabral, SN, Bairro João de Deus, CEP 56316-686,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pPr>
      <w:r>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30"/>
        <w:gridCol w:w="900"/>
        <w:gridCol w:w="1017"/>
        <w:gridCol w:w="4"/>
        <w:gridCol w:w="1127"/>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29: CAMPUS SANTA MARIA DA BOA VISTA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3" w:type="dxa"/>
            </w:tcMar>
            <w:vAlign w:val="center"/>
          </w:tcPr>
          <w:p>
            <w:pPr>
              <w:pStyle w:val="Contedodatabela"/>
              <w:spacing w:before="0" w:after="0"/>
              <w:jc w:val="center"/>
              <w:rPr/>
            </w:pPr>
            <w:r>
              <w:rPr>
                <w:b/>
                <w:bCs/>
                <w:sz w:val="14"/>
                <w:szCs w:val="14"/>
              </w:rPr>
              <w:t>Descrição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3"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3" w:type="dxa"/>
            </w:tcMar>
            <w:vAlign w:val="center"/>
          </w:tcPr>
          <w:p>
            <w:pPr>
              <w:pStyle w:val="Contedodatabela"/>
              <w:spacing w:before="0" w:after="0"/>
              <w:jc w:val="center"/>
              <w:rPr/>
            </w:pPr>
            <w:r>
              <w:rPr>
                <w:b/>
                <w:bCs/>
                <w:sz w:val="14"/>
                <w:szCs w:val="14"/>
              </w:rPr>
              <w:t>Valor Unitário</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4,50</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3.240,00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250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rFonts w:eastAsia="Times New Roman" w:cs="Tahoma"/>
                <w:b/>
                <w:bCs/>
                <w:color w:val="00000A"/>
                <w:sz w:val="14"/>
                <w:szCs w:val="14"/>
                <w:lang w:val="pt-BR" w:eastAsia="pt-BR" w:bidi="ar-SA"/>
              </w:rPr>
              <w:t>5,48</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3.945,60</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CCFF" w:val="clear"/>
            <w:tcMar>
              <w:left w:w="13" w:type="dxa"/>
            </w:tcMar>
            <w:vAlign w:val="center"/>
          </w:tcPr>
          <w:p>
            <w:pPr>
              <w:pStyle w:val="Contedodatabela"/>
              <w:jc w:val="center"/>
              <w:rPr/>
            </w:pPr>
            <w:r>
              <w:rPr>
                <w:b/>
                <w:bCs/>
                <w:sz w:val="16"/>
                <w:szCs w:val="16"/>
              </w:rPr>
              <w:t>7.185,60</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Contedodatabela"/>
              <w:spacing w:lineRule="auto" w:line="240" w:before="0" w:after="0"/>
              <w:rPr/>
            </w:pPr>
            <w:r>
              <w:rPr>
                <w:rStyle w:val="Fontepargpadro"/>
                <w:rFonts w:eastAsia="Times New Roman" w:cs="Tahoma"/>
                <w:iCs/>
                <w:color w:val="00000A"/>
                <w:sz w:val="16"/>
                <w:szCs w:val="16"/>
                <w:lang w:val="pt-BR" w:eastAsia="pt-BR" w:bidi="ar-SA"/>
              </w:rPr>
              <w:t>Rua Maria Luzia de Araújo Gomes Cabral, SN, Bairro João de Deus, CEP 56316-686, Petrolina-PE</w:t>
            </w:r>
          </w:p>
        </w:tc>
      </w:tr>
    </w:tbl>
    <w:p>
      <w:pPr>
        <w:pStyle w:val="Contedodatabela"/>
        <w:spacing w:lineRule="auto" w:line="240" w:before="0" w:after="0"/>
        <w:rPr>
          <w:rStyle w:val="Fontepargpadro"/>
          <w:rFonts w:ascii="Arial" w:hAnsi="Arial"/>
          <w:iCs/>
          <w:color w:val="00000A"/>
          <w:sz w:val="14"/>
          <w:szCs w:val="14"/>
        </w:rPr>
      </w:pPr>
      <w:r>
        <w:rPr>
          <w:rFonts w:ascii="Arial" w:hAnsi="Arial"/>
          <w:iCs/>
          <w:color w:val="00000A"/>
          <w:sz w:val="14"/>
          <w:szCs w:val="14"/>
        </w:rPr>
      </w:r>
    </w:p>
    <w:p>
      <w:pPr>
        <w:pStyle w:val="Normal"/>
        <w:spacing w:lineRule="auto" w:line="240" w:before="0" w:after="0"/>
        <w:jc w:val="both"/>
        <w:rPr>
          <w:rFonts w:ascii="Arial" w:hAnsi="Arial"/>
          <w:iCs/>
          <w:color w:val="00000A"/>
          <w:sz w:val="14"/>
          <w:szCs w:val="14"/>
        </w:rPr>
      </w:pPr>
      <w:r>
        <w:rPr>
          <w:rFonts w:ascii="Arial" w:hAnsi="Arial"/>
          <w:iCs/>
          <w:color w:val="00000A"/>
          <w:sz w:val="14"/>
          <w:szCs w:val="14"/>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30"/>
        <w:gridCol w:w="900"/>
        <w:gridCol w:w="1017"/>
        <w:gridCol w:w="4"/>
        <w:gridCol w:w="1127"/>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30: CAMPUS SERRA TALHADA – Proteína Animal Bovina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Descrição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 Unitário</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bovina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1.364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22,38</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30.526,32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bovina tipo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1.600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20,76</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33.216,00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397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bovina tipo 3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795</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18,98</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15.089,10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398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Fígado bovino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10,01</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3.003,00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399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de charque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Charque traseira, tipo seca, bovina, resfriada, de primeira qualidade. Deverá possuir registro no órgão oficial, Selo de Inspeção Municipal (S.I.M.), Selo de Inspeção Estadual (S.I.E.) ou Selo de Inspeção Federal (S.I.F.). Embalada à vácuo. Produzida, embalada, rotulada e transportada em conformidade com as normas da legislação sanitária vigente. O produto deve apresentar validade mínima de 03 meses a partir da data de entrega à unidade requisitante. Embalagem lacrada.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845</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24,70</w:t>
            </w:r>
          </w:p>
        </w:tc>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20.871,50</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102.705,92</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4"/>
          <w:szCs w:val="14"/>
        </w:rPr>
      </w:pPr>
      <w:r>
        <w:rPr>
          <w:rFonts w:ascii="Arial" w:hAnsi="Arial"/>
          <w:iCs/>
          <w:color w:val="00000A"/>
          <w:sz w:val="14"/>
          <w:szCs w:val="14"/>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30"/>
        <w:gridCol w:w="900"/>
        <w:gridCol w:w="1076"/>
        <w:gridCol w:w="4"/>
        <w:gridCol w:w="1068"/>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31: CAMPUS SERRA TALHADA – Proteína Animal Alves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Descrição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 Unitário</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Coxa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2495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9,24</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23.053,80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Filé de peito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1368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12,02</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16.443,36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Peito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1368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10,41</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14.240,88</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jc w:val="center"/>
              <w:rPr/>
            </w:pPr>
            <w:r>
              <w:rPr>
                <w:rFonts w:eastAsia="Times New Roman" w:cs="Tahoma"/>
                <w:b/>
                <w:bCs/>
                <w:color w:val="00000A"/>
                <w:sz w:val="14"/>
                <w:szCs w:val="14"/>
                <w:lang w:val="pt-BR" w:eastAsia="pt-BR" w:bidi="ar-SA"/>
              </w:rPr>
              <w:t>53.738,04</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sz w:val="20"/>
          <w:szCs w:val="20"/>
        </w:rPr>
      </w:pPr>
      <w:r>
        <w:rPr>
          <w:sz w:val="20"/>
          <w:szCs w:val="20"/>
        </w:rPr>
      </w:r>
    </w:p>
    <w:p>
      <w:pPr>
        <w:pStyle w:val="Contedodatabela"/>
        <w:numPr>
          <w:ilvl w:val="0"/>
          <w:numId w:val="0"/>
        </w:numPr>
        <w:spacing w:lineRule="auto" w:line="240" w:before="0" w:after="0"/>
        <w:ind w:left="720" w:hanging="0"/>
        <w:jc w:val="left"/>
        <w:textAlignment w:val="center"/>
        <w:rPr>
          <w:rStyle w:val="Fontepargpadro"/>
          <w:sz w:val="20"/>
          <w:szCs w:val="20"/>
        </w:rPr>
      </w:pPr>
      <w:r>
        <w:rPr>
          <w:sz w:val="20"/>
          <w:szCs w:val="20"/>
        </w:rPr>
      </w:r>
    </w:p>
    <w:tbl>
      <w:tblPr>
        <w:tblW w:w="9805"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58"/>
        <w:gridCol w:w="4372"/>
        <w:gridCol w:w="1021"/>
        <w:gridCol w:w="900"/>
        <w:gridCol w:w="1083"/>
        <w:gridCol w:w="5"/>
        <w:gridCol w:w="1065"/>
      </w:tblGrid>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32: CAMPUS SERRA TALHADA – Proteína Animal Suína, Caprina e Peixes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Nº Item</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Item</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Descrição</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Qtd.</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 Unitário</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403</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caprina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Carne caprina magra, LOMBO. Resfriada. Peças devidamente embaladas. Aspecto próprio da carne, não pegajosa, cor própria da carne, sem manchas esverdeadas ou pardas, cheiro próprio.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 Embalagem lacrada.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340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28,78</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9.785,20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404</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Filé de peixe tipo 1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4080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23,68</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96.614,40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405</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Filé de peixe tipo 2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676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33,12</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22.389,12</w:t>
            </w:r>
          </w:p>
        </w:tc>
      </w:tr>
      <w:tr>
        <w:trPr/>
        <w:tc>
          <w:tcPr>
            <w:tcW w:w="873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128.788,72</w:t>
            </w:r>
          </w:p>
        </w:tc>
      </w:tr>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rStyle w:val="Fontepargpadro"/>
          <w:rFonts w:ascii="Arial" w:hAnsi="Arial"/>
          <w:b/>
          <w:b/>
          <w:bCs/>
          <w:sz w:val="16"/>
          <w:szCs w:val="16"/>
        </w:rPr>
      </w:pPr>
      <w:r>
        <w:rPr>
          <w:rFonts w:ascii="Arial" w:hAnsi="Arial"/>
          <w:b/>
          <w:bCs/>
          <w:sz w:val="16"/>
          <w:szCs w:val="16"/>
        </w:rPr>
      </w:r>
    </w:p>
    <w:p>
      <w:pPr>
        <w:pStyle w:val="Contedodatabela"/>
        <w:spacing w:lineRule="auto" w:line="240" w:before="0" w:after="0"/>
        <w:jc w:val="center"/>
        <w:textAlignment w:val="center"/>
        <w:rPr>
          <w:rStyle w:val="Fontepargpadro"/>
          <w:rFonts w:ascii="Arial" w:hAnsi="Arial"/>
          <w:b/>
          <w:b/>
          <w:bCs/>
          <w:sz w:val="20"/>
          <w:szCs w:val="20"/>
        </w:rPr>
      </w:pPr>
      <w:r>
        <w:rPr>
          <w:rFonts w:ascii="Arial" w:hAnsi="Arial"/>
          <w:b/>
          <w:bCs/>
          <w:sz w:val="20"/>
          <w:szCs w:val="20"/>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30"/>
        <w:gridCol w:w="900"/>
        <w:gridCol w:w="1076"/>
        <w:gridCol w:w="4"/>
        <w:gridCol w:w="1068"/>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lineRule="auto" w:line="240" w:before="0" w:after="0"/>
              <w:jc w:val="center"/>
              <w:textAlignment w:val="center"/>
              <w:rPr>
                <w:rStyle w:val="Fontepargpadro"/>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33: CAMPUS SERRA TALHADA – Frios, Derivados de Leite, Embutidos e Ovos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Descrição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 Unitário</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406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Iogurte tipo 1 (Pote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Pote 170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15.720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3,19</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50.146,80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407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Iogurte tipo 2 (Garrafa com 900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Garrafa 900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3.144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7,14</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22.448,16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408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Manteiga (Balde com 05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5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39</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158,96</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6.199,44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Margarina tipo 1 (Balde com 15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Margarina. Balde com 15 Kg. Margarina vegetal com sal com 50% de lipídeos, de primeira qualidade, livre de oxidação (ranço), nova, homogênea. Produzidas, embaladas, rotuladas e transportadas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 Balde com 15 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15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07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109,50</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766,50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Queijo muçarela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27,53</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2.395,11</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Linguiça calabresa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216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18,19</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3.929,04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Linguiça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216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12,14</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2.622,24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413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Mortadela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9,33</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802,38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414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Presunto cozido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24,16</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2.077,76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415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Ovos (Bandeja com 30 unidades)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2"/>
                <w:szCs w:val="12"/>
              </w:rPr>
              <w:t>Bandeja com 30 unidades</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1.030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13,68</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14.090,40</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105.477,83</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30"/>
        <w:gridCol w:w="900"/>
        <w:gridCol w:w="1076"/>
        <w:gridCol w:w="4"/>
        <w:gridCol w:w="1068"/>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34: CAMPUS SERRA TALHADA – Cereais e Farináceos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Descrição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 Unitário</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416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Amido de milho (Caixa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7,26</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1.125,30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Arroz integral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Arroz INTEGRAL – 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06 meses a contar a partir da data de entrega. Pacote com 01 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285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4,38</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1.248,30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Arroz parboilizado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2285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3,09</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7.060,65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Arroz vermelho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Arroz VERMELHO, limpo, longo, grãos inteiros, com teor de umidade máxima de 15%; isento de sujidades e materiais estranhos; acondicionado em saco plástico, validade mínima de 06 meses a contar da data da entrega, Embalagem de 1 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6,30</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1.083,60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Aveia (Caixa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Aveia em flocos finos. A embalagem interna deverá ser em pacotes plásticos transparentes ,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170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694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4,15</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2.880,10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Farinha de rosca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Farinha de rosca industrializada, 1ª qualidade. Rotulagem de acordo com a legislação. Data de validade mínima de 2 meses a contar da data de entrega do produto. Pacote de 500g.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6,89</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702,78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Farinha de trigo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Farinha de trigo tradicional, sem fermento, tipo 1. Enriquecida com ferro e ácido fólico. Deverá apresentar validade mínima de 3 meses a partir da data de entrega. Embalagem de 1 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4,00</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608,00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Farinha de milho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4020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1,71</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6.874,20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Milho para munguzá tipo 1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314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3,58</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1.124,12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Mistura para preparo de canjiquinha (Pacote com 400g)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Mistura para preparo de Canjiquinha / curau . Preparo rápido. Embalada em sacos de poliéster metalizados. Rotulagem em conformidade à legislação vigente. Prazo de validade mínimo 02 meses a contar a partir da data de entrega . Pacote com 400g.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400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196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7,13</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1.397,48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Mistura para preparo de canjiquinha DIET (Pacote com 130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Mistura para preparo de Canjiquinha / curau, para dietas com ingestão controlada de açúcares. Preparo rápido. SEM ADIÇÃO DE AÇÚCARES. DIET. Embalada em sacos de poliéster metalizados. Prazo de validade mínimo 02 meses a contar a partir da data de entrega. Rotulagem em conformidade à legislação vigente. Pacote com 130g.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130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134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5,58</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747,72</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jc w:val="center"/>
              <w:rPr/>
            </w:pPr>
            <w:r>
              <w:rPr>
                <w:rFonts w:eastAsia="Times New Roman" w:cs="Tahoma"/>
                <w:b/>
                <w:bCs/>
                <w:color w:val="00000A"/>
                <w:sz w:val="14"/>
                <w:szCs w:val="14"/>
                <w:lang w:val="pt-BR" w:eastAsia="pt-BR" w:bidi="ar-SA"/>
              </w:rPr>
              <w:t>24.852,25</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30"/>
        <w:gridCol w:w="900"/>
        <w:gridCol w:w="1076"/>
        <w:gridCol w:w="4"/>
        <w:gridCol w:w="1068"/>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35: CAMPUS SERRA TALHADA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Descrição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 Unitário</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Achocolatado em pó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Achocolatado em pó, 1ª qualidade. Rotulagem de acordo com a legislação. Pacote 200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1546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rFonts w:eastAsia="Times New Roman" w:cs="Tahoma"/>
                <w:b/>
                <w:bCs/>
                <w:color w:val="00000A"/>
                <w:sz w:val="14"/>
                <w:szCs w:val="14"/>
                <w:lang w:val="pt-BR" w:eastAsia="pt-BR" w:bidi="ar-SA"/>
              </w:rPr>
              <w:t>2,67</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4.127,82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Achocolatado em pó diet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rFonts w:eastAsia="Times New Roman" w:cs="Tahoma"/>
                <w:b/>
                <w:bCs/>
                <w:color w:val="00000A"/>
                <w:sz w:val="14"/>
                <w:szCs w:val="14"/>
                <w:lang w:val="pt-BR" w:eastAsia="pt-BR" w:bidi="ar-SA"/>
              </w:rPr>
              <w:t>17,70</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3.079,80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429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1546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rFonts w:eastAsia="Times New Roman" w:cs="Tahoma"/>
                <w:b/>
                <w:bCs/>
                <w:color w:val="00000A"/>
                <w:sz w:val="14"/>
                <w:szCs w:val="14"/>
                <w:lang w:val="pt-BR" w:eastAsia="pt-BR" w:bidi="ar-SA"/>
              </w:rPr>
              <w:t>2,59</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4.004,14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430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174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4,50</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783,00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431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250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1060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rFonts w:eastAsia="Times New Roman" w:cs="Tahoma"/>
                <w:b/>
                <w:bCs/>
                <w:color w:val="00000A"/>
                <w:sz w:val="14"/>
                <w:szCs w:val="14"/>
                <w:lang w:val="pt-BR" w:eastAsia="pt-BR" w:bidi="ar-SA"/>
              </w:rPr>
              <w:t>5,48</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5.808,80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432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Creme de leite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Creme de leite, 1ªqualidade. Com S.I.F. Data de validade mínima de 3 meses a contar da data de entrega do produto. Rotulagem em conformidade à legislação. Caixa com 200g.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512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3,02</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1.546,24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433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Ervilha em conserva (Pacote com 2kg)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Ervilha em conserva, grãos inteiros, líquido translúcido, livre de impurezas. Validade mínima de 6 meses a partir da data de entrega. Pacote com 2kg.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19,41</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1.494,57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434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Leite condensado (Embalagem com 395g)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Leite Condensado, acondicionado em embalagem Tetra pack, 1ª qualidade. O produto deverá ter validade mínima de 6 meses a partir da data de entrega. Embalagem de 395g.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Unidade395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4,62</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300,30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435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Leite de coco (Unidade com 200ml)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Leite de coco. Rotulagem em conformidade à legislação vigente. Deverá apresentar validade mínima de 12 meses a partir da data de entrega à unidade requisitante. Embalagem de 200ml.</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200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3,59</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459,52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436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Leite em pó tipo 1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348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rFonts w:eastAsia="Times New Roman" w:cs="Tahoma"/>
                <w:b/>
                <w:bCs/>
                <w:color w:val="00000A"/>
                <w:sz w:val="14"/>
                <w:szCs w:val="14"/>
                <w:lang w:val="pt-BR" w:eastAsia="pt-BR" w:bidi="ar-SA"/>
              </w:rPr>
              <w:t>5,58</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1.941,84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437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Leite em pó tipo 2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3144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rFonts w:eastAsia="Times New Roman" w:cs="Tahoma"/>
                <w:b/>
                <w:bCs/>
                <w:color w:val="00000A"/>
                <w:sz w:val="14"/>
                <w:szCs w:val="14"/>
                <w:lang w:val="pt-BR" w:eastAsia="pt-BR" w:bidi="ar-SA"/>
              </w:rPr>
              <w:t>4,62</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14.525,28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438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Óleo vegetal de soja (Garrafa com 900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Óleo vegetal comestível, de Soja, TIPO 1. Rotulagem de acordo com a legislação vigente. Deverá apresentar validade mínima de 04 meses a partir da data de entrega à unidade requisitante. Garrafa c/ 900ml.</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Garrafa 900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350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4,44</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1.554,00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439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Proteína texturizada de soja (Pacote com 400g)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400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1965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4,67</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9.176,55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440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Queijo parmesão (Pacote com 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Queijo Parmesão Ralado, 1º qualidade. Rotulagem de acordo com a legislação vigente. Prazo de validade mínimo 04 meses a contar a partir da data de entrega. Pacote 50g.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79</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3,65</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288,35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441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Sardinha em conserva (Lata com 250g)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Sardinha conservada em molho de TOMATE. Ingredientes: sardinha, água de constituição (ao próprio suco), MOLHO DE TOMATE e sal. Sem glúten. Latas sem amassados, sem ferrugem. Rotulagem de acordo com a legislação. Deverá apresentar validade mínima de 6 meses a partir da data de entrega à unidade requisitante. Lata com 250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Unidade250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2515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7,21</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18.133,15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442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Coco ralado (Pacote com 100g)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100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4,65</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297,60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443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Fermento químico (Pote com 100g)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Fermento em pó químico. Aplicação em bolos. Rotulagem de acordo com a legislação. Pote 100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Pote 100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190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3,90</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741,00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444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Chocolate em pó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1546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16,05</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24.813,30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Canela em pó (Pote com 35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Canela em pó, fina, nova, sem sujidades, com cheiro característico. Deverá apresentar validade mínima de 12 meses a partir da data de entrega à unidade requisitante. Rotulagem de acordo com a legislação. Potes com 35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Pote</w:t>
            </w:r>
          </w:p>
          <w:p>
            <w:pPr>
              <w:pStyle w:val="Contedodatabela"/>
              <w:jc w:val="center"/>
              <w:rPr/>
            </w:pPr>
            <w:r>
              <w:rPr>
                <w:b/>
                <w:bCs/>
                <w:sz w:val="14"/>
                <w:szCs w:val="14"/>
              </w:rPr>
              <w:t>35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110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343,20</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jc w:val="center"/>
              <w:rPr/>
            </w:pPr>
            <w:r>
              <w:rPr>
                <w:rFonts w:eastAsia="Times New Roman" w:cs="Tahoma"/>
                <w:b/>
                <w:bCs/>
                <w:color w:val="00000A"/>
                <w:sz w:val="14"/>
                <w:szCs w:val="14"/>
                <w:lang w:val="pt-BR" w:eastAsia="pt-BR" w:bidi="ar-SA"/>
              </w:rPr>
              <w:t>93.418,46</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Style w:val="Fontepargpadro"/>
          <w:rFonts w:ascii="Arial" w:hAnsi="Arial"/>
          <w:b/>
          <w:b/>
          <w:bCs/>
          <w:sz w:val="16"/>
          <w:szCs w:val="16"/>
        </w:rPr>
      </w:pPr>
      <w:r>
        <w:rPr>
          <w:rFonts w:ascii="Arial" w:hAnsi="Arial"/>
          <w:b/>
          <w:bCs/>
          <w:sz w:val="16"/>
          <w:szCs w:val="16"/>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30"/>
        <w:gridCol w:w="900"/>
        <w:gridCol w:w="1076"/>
        <w:gridCol w:w="4"/>
        <w:gridCol w:w="1068"/>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36: CAMPUS SERRA TALHADA – Leguminosas e Oleaginosas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Descrição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 Unitário</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Amendoim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Amendoim cru, ao natural, com cascas íntegras, sem partes amolecidas. Rotulagem de acordo com a legislação. Pacote com 500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93</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9,05</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841,65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Feijão carioca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específica. O produto deverá apresentar validade mínima de 06 meses a partir da data de entrega à unidade requisitante. Embalagem de 1kg.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1465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4,15</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6.079,75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Feijão de corda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Feijão de corda / fradinho / macáçar, tipo 1, limpo. Industrializado. Rotulagem em conformidade à legislação vigente. Deverá apresentar validade mínima de 04 meses a partir da data de entrega. Embalagem com 1 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366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6,05</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2.214,30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Feijão preto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Feijão preto tipo 1, industrializado. Rotulagem em conformidade à legislação vigente. Deverá apresentar validade mínima de 04 meses a partir da data de entrega à unidade requisitante. Embalagem com 01 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6,14</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2.241,10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Milho em conserva tipo 1 (Unidade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 2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16,01</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1.232,77</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12.609,57</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rPr>
          <w:rStyle w:val="Fontepargpadro"/>
          <w:rFonts w:ascii="Arial" w:hAnsi="Arial"/>
          <w:b/>
          <w:b/>
          <w:bCs/>
          <w:sz w:val="16"/>
          <w:szCs w:val="16"/>
        </w:rPr>
      </w:pPr>
      <w:r>
        <w:rPr>
          <w:rFonts w:ascii="Arial" w:hAnsi="Arial"/>
          <w:b/>
          <w:bCs/>
          <w:sz w:val="16"/>
          <w:szCs w:val="16"/>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30"/>
        <w:gridCol w:w="900"/>
        <w:gridCol w:w="1076"/>
        <w:gridCol w:w="4"/>
        <w:gridCol w:w="1068"/>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Normal"/>
              <w:spacing w:lineRule="auto" w:line="240"/>
              <w:rPr>
                <w:sz w:val="20"/>
                <w:szCs w:val="20"/>
              </w:rPr>
            </w:pPr>
            <w:r>
              <w:rPr>
                <w:sz w:val="20"/>
                <w:szCs w:val="20"/>
              </w:rPr>
            </w:r>
          </w:p>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37: CAMPUS SERRA TALHADA – Massas Alimentícias, Macarrão e Biscoitos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Descrição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 Unitário</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Biscoito tipo 1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Biscoito doce maisena, apresentação retangular, sem cheiro. Rotulagem de acordo com a legislação. Validade mínima de 6 meses a partir da data de entrega. Caixa c/ 20 pct de 400g.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c/ 20 pacotes</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rFonts w:eastAsia="Times New Roman" w:cs="Tahoma"/>
                <w:b/>
                <w:bCs/>
                <w:color w:val="00000A"/>
                <w:sz w:val="14"/>
                <w:szCs w:val="14"/>
                <w:lang w:val="pt-BR" w:eastAsia="pt-BR" w:bidi="ar-SA"/>
              </w:rPr>
              <w:t>80,75</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1.211,25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Biscoito tipo 2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Biscoito salgado cream cracker. Rotulagem de acordo com a legislação. Validade mínima de 6 meses a partir da data de entrega. Caixa c/ 20 pct de 400g.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c/ 20 pacotes</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before="0" w:after="0"/>
              <w:jc w:val="center"/>
              <w:rPr/>
            </w:pPr>
            <w:r>
              <w:rPr>
                <w:rFonts w:eastAsia="Times New Roman" w:cs="Tahoma"/>
                <w:b/>
                <w:bCs/>
                <w:color w:val="00000A"/>
                <w:sz w:val="14"/>
                <w:szCs w:val="14"/>
                <w:lang w:val="pt-BR" w:eastAsia="pt-BR" w:bidi="ar-SA"/>
              </w:rPr>
              <w:t>69,80</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1.047,00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Biscoito tipo 3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Biscoito Integral tipo cream Cracker , com validade de 2 anos a partir da data de entrega, livre de fungos, sem unidades quebradas , embalagem integra, de boa qualidade. Caixa c/ 20 pct de 400g.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Caixa c/ 20 pacotes</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85,95</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1.289,25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tipo 1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fino. tipo espaguete. SEM OVOS, de 1ª qualidade, íntegro. Rotulagem de acordo com a legislação vigente. Deverá apresentar validade mínima de 10 meses a partir da data de entrega à unidade requisitante. Pacote com 500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1.638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2,42</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3.963,96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tipo 2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espaguete INTEGRAL. Ingredientes: farinha de trigo integral enriquecida com ferro e ácido fólico e corante natural de urucum e cúrcuma. SEM OVOS, DE 1ª QUALIDADE. Embalagem: plástica, transparente, resistente, bem vedada, isento de qualquer substância estranha ou nociva. Prazo de validade mínimo 06 meses a contar a partir da data de entrega. Pacote com 500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556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3,54</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1.968,24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tipo 3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Macarrão curto com ovos, tipo parafuso, submetido a processo de secagem, acondicionado em embalagens apropriadas. Rotulagem conforme legislação vigente. Prazo de validade mínimo 06 meses a contar a partir da data de entrega. Pacote com 500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1.638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3,70</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6.060,60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Massa Sêmola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Massa de Sêmola para lasanha. Rotulagem de acordo com a legislação vigente. Deverá apresentar validade mínima de 6 meses a partir da data de entrega à unidade requisitante. Pacote 500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1.024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5,93</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6.072,32</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jc w:val="center"/>
              <w:rPr/>
            </w:pPr>
            <w:r>
              <w:rPr>
                <w:rFonts w:eastAsia="Times New Roman" w:cs="Tahoma"/>
                <w:b/>
                <w:bCs/>
                <w:color w:val="00000A"/>
                <w:sz w:val="14"/>
                <w:szCs w:val="14"/>
                <w:lang w:val="pt-BR" w:eastAsia="pt-BR" w:bidi="ar-SA"/>
              </w:rPr>
              <w:t>21.612,62</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both"/>
        <w:textAlignment w:val="center"/>
        <w:rPr>
          <w:rStyle w:val="Fontepargpadro"/>
          <w:rFonts w:ascii="Arial" w:hAnsi="Arial"/>
          <w:b/>
          <w:b/>
          <w:bCs/>
          <w:iCs/>
          <w:color w:val="00000A"/>
          <w:sz w:val="16"/>
          <w:szCs w:val="16"/>
        </w:rPr>
      </w:pPr>
      <w:r>
        <w:rPr>
          <w:rFonts w:ascii="Arial" w:hAnsi="Arial"/>
          <w:b/>
          <w:bCs/>
          <w:iCs/>
          <w:color w:val="00000A"/>
          <w:sz w:val="16"/>
          <w:szCs w:val="16"/>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30"/>
        <w:gridCol w:w="900"/>
        <w:gridCol w:w="1076"/>
        <w:gridCol w:w="4"/>
        <w:gridCol w:w="1068"/>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iCs/>
                <w:color w:val="00000A"/>
                <w:sz w:val="16"/>
                <w:szCs w:val="16"/>
              </w:rPr>
              <w:t>GRUPO 38: CAMPUS SERRA TALHADA – Condimentos, Temperos e Molhos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Descrição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 Unitário</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Açafrão da terra/ Cúrcuma (Pacote com 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Açafrão da terra, em pó de cor amarela ou avermelhada. Pó isento de impurezas e umidade. Acondicionado em embalagem 50g, integra, atóxica, resistente, vedada hermeticamente e limpa. Livre de sujidades e contaminantes. Rotulagem conforme legislação. Data de validade mínima de 6 meses a contar da data de entrega do produto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786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4,59</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3.607,74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Colorau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410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5,38</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2.205,80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Cominho em pó (Pacote com 30g)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30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6826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2,04</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13.925,04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Extrato de tomate (Pacote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12,74</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1.337,70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Orégano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128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17,59</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2.251,52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463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Sal de cozinha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Sal de cozinha, moído, branco, de 1ª qualidade, tratamento diferenciado: iodado. Rotulagem de acordo com a legislação vigente. Deverá conter validade mínima de 01 ano a partir da data da entrega à unidade requisitante. Pacote com 01 Kg.</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0,82</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192,70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464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Vinagre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Garrafa 500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628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0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2.524,56</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jc w:val="center"/>
              <w:rPr/>
            </w:pPr>
            <w:r>
              <w:rPr>
                <w:rFonts w:eastAsia="Times New Roman" w:cs="Tahoma"/>
                <w:b/>
                <w:bCs/>
                <w:color w:val="00000A"/>
                <w:sz w:val="14"/>
                <w:szCs w:val="14"/>
                <w:lang w:val="pt-BR" w:eastAsia="pt-BR" w:bidi="ar-SA"/>
              </w:rPr>
              <w:t>26.045,06</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both"/>
        <w:textAlignment w:val="center"/>
        <w:rPr>
          <w:rStyle w:val="Fontepargpadro"/>
          <w:rFonts w:ascii="Arial" w:hAnsi="Arial"/>
          <w:b/>
          <w:b/>
          <w:bCs/>
          <w:iCs/>
          <w:color w:val="00000A"/>
          <w:sz w:val="16"/>
          <w:szCs w:val="16"/>
        </w:rPr>
      </w:pPr>
      <w:r>
        <w:rPr>
          <w:rFonts w:ascii="Arial" w:hAnsi="Arial"/>
          <w:b/>
          <w:bCs/>
          <w:iCs/>
          <w:color w:val="00000A"/>
          <w:sz w:val="16"/>
          <w:szCs w:val="16"/>
        </w:rPr>
      </w:r>
    </w:p>
    <w:tbl>
      <w:tblPr>
        <w:tblW w:w="9805"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58"/>
        <w:gridCol w:w="4372"/>
        <w:gridCol w:w="1021"/>
        <w:gridCol w:w="900"/>
        <w:gridCol w:w="1083"/>
        <w:gridCol w:w="5"/>
        <w:gridCol w:w="1065"/>
      </w:tblGrid>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iCs/>
                <w:color w:val="00000A"/>
                <w:sz w:val="16"/>
                <w:szCs w:val="16"/>
              </w:rPr>
              <w:t>GRUPO 39: CAMPUS SERRA TALHADA – Hortifruti</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Nº Item</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Item</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Descrição</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Qtd.</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 Unitário</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465</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Abacaxi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Abacaxi in natura (Ananas como sus), tamanho médio, com polpas firmes e intactas, coloração uniforme, grau de maturação madura.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880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4,13</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3.634,40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466</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Abóbora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Abóbora nova, firme, sem machucados, sem partes escurecidas ou amolecidas.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460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2,81</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1.292,60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467</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Abobrinha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Abobrinha brasileira. Produtos sãos, limpos e de boa qualidade, sem defeitos, suficientemente desenvolvidos, com aspecto, aroma e sabor típicos da variedade e uniformidade no tamanho e na cor.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3,20</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736,00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468</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Alface (Molhos)</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Alface crespa, fresca, tamanho e coloração uniformes, bem desenvolvida. sem material terroso, livre de resíduos de fertilizantes, parasitos e larvas, sem danos provocados pelo manuseio ou transporte. Unidade: molho.</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1.024</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2,42</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2.478,08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469</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Alho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Alho in natura, aspecto físico em cabeça, tamanho grande.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17,54</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4.139,44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470</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Banana da terra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Banana da terra. In natura.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204</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4,57</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932,28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471</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Banana prata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Banana prata. In natura.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400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1.248,00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472</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Batata inglesa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Batata inglesa in natura, 1ª qualidade, tamanho grande, lisa, sem brotos ou partes verdes.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416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1.597,44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473</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Batata-doce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Batata-doce roxa com casca firme, sem cortes, sem sinais de umidade e sem bolor.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640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3,38</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2.163,20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474</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Beterraba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Beterraba. Tamanho médio, produtos limpos, de boa qualidade, sem defeitos, suficientemente desenvolvidos com aspecto, aroma e sabor típicos da variedade e uniformidade no tamanho e na cor.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416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3,40</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1.414,40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475</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Brócolis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Brócolis. Tipo ramoso, in natura. Tamanho e coloração uniformes. Sem áreas amareladas, sem sujidades ou outros defeitos que possam alterar sua aparência ou qualidade.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204</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13,28</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2.709,12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476</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Cebolinha verde (Molhos)</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Cebolinha verde, comum, limpa, tenra, com raiz, com coloração uniforme, com sabor e odor característico a cada variedade. Sem podridão, sem partes secas, murchas ou queimadas por sol ou frio. Bem desenvolvida. Unidade: molho.</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2947</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2,11</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6.218,17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477</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Cebola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Cebola in natura, uso culinário, tipo branca, firme, sem manchas ou partes amolecidas.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906,24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478</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Cenoura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Cenoura, in natura, alaranjada, sem material terroso, livre de resíduos de fertilizantes, parasitos e larvas, sem danos provocados pelo manuseio ou transporte, sem brotos, grau de maturação madura.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416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3,37</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1.401,92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479</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Coentro (Molhos)</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Coentro: Folhas verdes, fresca, sem traços de descoloração, íntegros e firmes, isentos de sujidades ou corpo estranhos. Unidade: molho</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2.947</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1,79</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5.275,13</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480</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Chuchu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Chuchu: Hortaliça de casca verde-escuro, sem espinhos, aplicação culinária em geral. Livre de umidade externa, tenra, firme, com sabor e odor característicos, sem podridão úmida ou seca, sem partes queimadas ou esverdeadas, sem danos provocados pelo manuseio ou transporte. Isenta de cortes.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3,03</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621,15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481</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Couve flor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Couve-flor. Fresca, tamanho médio a grande, cabeças firmes e sem áreas escuras, com maturação uniforme e coloração amarelada, sem manchas de fungos.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9,09</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1.863,45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482</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Couve folha (Molhos)</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Couve folha, in natura, sem material terroso, livre de resíduos de fertilizantes, parasitos e larvas, sem danos provocados pelo manuseio ou transporte. Unidade: molho</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256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2,15</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550,40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483</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Goiaba vermelha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416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3,50</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1.456,00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484</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Laranja pêra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Laranja pêra “in natura” .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800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2,98</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2.384,00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485</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Limão taiti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Limão taiti "in natura"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320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4,16</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1.331,20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486</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Maçã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Maçã nacional, selecionada, in natura, tamanho médio.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6,28</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2.499,44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487</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Mamão formosa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Mamão formosa, íntegro, sem machucados, sem furos, sem partes amolecidas, não muito maduros.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879,58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488</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Mandioca com casca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Mandioca, com casca, in natura, sem injurias, doenças, sem escurecimento. Raiz na cor marrom e massa branca.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796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3,25</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2.587,00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489</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Mandioca sem casca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Mandioca, sem casca, resfriada, sem injurias, doenças, sem escurecimento. Embalada a vácuo. Rotulagem em conformidade à legislação vigente.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786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5,07</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3.985,02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490</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Manga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rStyle w:val="Nfaseforte"/>
                <w:b w:val="false"/>
                <w:bCs w:val="false"/>
                <w:sz w:val="14"/>
                <w:szCs w:val="14"/>
              </w:rPr>
              <w:t xml:space="preserve">Manga </w:t>
            </w:r>
            <w:r>
              <w:rPr>
                <w:rStyle w:val="Nfaseforte"/>
                <w:sz w:val="14"/>
                <w:szCs w:val="14"/>
              </w:rPr>
              <w:t xml:space="preserve"> </w:t>
            </w:r>
            <w:r>
              <w:rPr>
                <w:rStyle w:val="Fontepargpadro"/>
                <w:sz w:val="14"/>
                <w:szCs w:val="14"/>
              </w:rPr>
              <w:t>Limpa, madura, tenra e sem fiapos. Casca lisa e brilhante, sem manchas, sem podridão, sem deformações. Bem desenvolvida com peso igual ou superior a 400g cada.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3,11</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1.237,78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491</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Melancia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Melancia, in natura, sem machucados, íntegra, grande de 1ª qualidade, tamanho e coloração uniforme.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1,44</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573,12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492</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Melão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Melão "amarelo". In natura.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2,44</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971,12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493</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Milho verde em espiga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Milho verde em espigas com palhas íntegras, sem partes amolecidas ou estragadas.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318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702,78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494</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Pepino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Pepino, in natura, coloração verde, firme, sem injúrias.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3,36</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688,80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495</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Pimentão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Pimentão verde, in natura, novo, sem amassados, sem manchas ou furos.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236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4,26</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1.005,36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496</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Repolho Branco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Repolho Branco, in natura, 1ª qualidade, tamanho grande, sem manchas ou partes murchas.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932,75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497</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Repolho Roxo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Repolho Roxo, in natura, 1ª qualidade, tamanho grande, sem manchas ou partes murchas.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7,06</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1.447,30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498</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Tomate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Tomate vermelho paulista, graúdo, in natura, 1ª qualidade, sem machucados, sem furos, firmes. Maduro.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424</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1.704,48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499</w:t>
            </w:r>
          </w:p>
        </w:tc>
        <w:tc>
          <w:tcPr>
            <w:tcW w:w="9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Vagem (Kg)</w:t>
            </w:r>
          </w:p>
        </w:tc>
        <w:tc>
          <w:tcPr>
            <w:tcW w:w="43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Vagem curta verde, tamanho e coloração uniformes, livre de material terroso, sem danos causados pelo manuseio ou transporte. Unidade de fornecimento: Quilograma.</w:t>
            </w:r>
          </w:p>
        </w:tc>
        <w:tc>
          <w:tcPr>
            <w:tcW w:w="10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77</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8,11</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624,47</w:t>
            </w:r>
          </w:p>
        </w:tc>
      </w:tr>
      <w:tr>
        <w:trPr>
          <w:trHeight w:val="435" w:hRule="atLeast"/>
        </w:trPr>
        <w:tc>
          <w:tcPr>
            <w:tcW w:w="873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jc w:val="center"/>
              <w:rPr/>
            </w:pPr>
            <w:r>
              <w:rPr>
                <w:rFonts w:eastAsia="Times New Roman" w:cs="Tahoma"/>
                <w:b/>
                <w:bCs/>
                <w:color w:val="00000A"/>
                <w:sz w:val="14"/>
                <w:szCs w:val="14"/>
                <w:lang w:val="pt-BR" w:eastAsia="pt-BR" w:bidi="ar-SA"/>
              </w:rPr>
              <w:t>64.191,62</w:t>
            </w:r>
          </w:p>
        </w:tc>
      </w:tr>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rFonts w:eastAsia="Times New Roman" w:cs="Tahoma"/>
                <w:b/>
                <w:bCs/>
                <w:color w:val="00000A"/>
                <w:sz w:val="14"/>
                <w:szCs w:val="14"/>
                <w:lang w:val="pt-BR" w:eastAsia="pt-BR" w:bidi="ar-SA"/>
              </w:rPr>
              <w:t>Local de Entrega: (Sede do Campus Serra Talhada)</w:t>
            </w:r>
          </w:p>
          <w:p>
            <w:pPr>
              <w:pStyle w:val="Rodap"/>
              <w:spacing w:lineRule="auto" w:line="240" w:before="0" w:after="0"/>
              <w:jc w:val="left"/>
              <w:rPr/>
            </w:pPr>
            <w:r>
              <w:rPr>
                <w:rStyle w:val="Fontepargpadro"/>
                <w:rFonts w:eastAsia="Times New Roman" w:cs="Tahoma"/>
                <w:b/>
                <w:bCs/>
                <w:iCs/>
                <w:color w:val="00000A"/>
                <w:sz w:val="14"/>
                <w:szCs w:val="14"/>
                <w:lang w:val="pt-BR" w:eastAsia="pt-BR" w:bidi="ar-SA"/>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Style w:val="Fontepargpadro"/>
          <w:rFonts w:ascii="Arial" w:hAnsi="Arial"/>
          <w:b/>
          <w:b/>
          <w:bCs/>
          <w:iCs/>
          <w:color w:val="00000A"/>
          <w:sz w:val="16"/>
          <w:szCs w:val="16"/>
        </w:rPr>
      </w:pPr>
      <w:r>
        <w:rPr>
          <w:rFonts w:ascii="Arial" w:hAnsi="Arial"/>
          <w:b/>
          <w:bCs/>
          <w:iCs/>
          <w:color w:val="00000A"/>
          <w:sz w:val="16"/>
          <w:szCs w:val="16"/>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68"/>
        <w:gridCol w:w="1030"/>
        <w:gridCol w:w="828"/>
        <w:gridCol w:w="1139"/>
        <w:gridCol w:w="1081"/>
      </w:tblGrid>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pPr>
            <w:r>
              <w:rPr>
                <w:rStyle w:val="Fontepargpadro"/>
                <w:b/>
                <w:bCs/>
                <w:iCs/>
                <w:color w:val="00000A"/>
                <w:sz w:val="16"/>
                <w:szCs w:val="16"/>
              </w:rPr>
              <w:t>GRUPO 40: CAMPUS SERRA TALHADA – Polpas de Fruta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Descrição</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Unidade</w:t>
            </w:r>
          </w:p>
        </w:tc>
        <w:tc>
          <w:tcPr>
            <w:tcW w:w="8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Qtd.</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 Unitário</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3092</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11,18</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34.568,56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1546</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10,40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16.078,40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3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1546</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11,10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17.160,60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503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4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13,01</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10.056,73</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504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5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11,65</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9.005,45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505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6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15,73</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12.159,29</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506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tipo 7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8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12,85</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9.933,05</w:t>
            </w:r>
          </w:p>
        </w:tc>
      </w:tr>
      <w:tr>
        <w:trPr/>
        <w:tc>
          <w:tcPr>
            <w:tcW w:w="872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108.962,08</w:t>
            </w:r>
          </w:p>
        </w:tc>
      </w:tr>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Style w:val="Fontepargpadro"/>
          <w:rFonts w:ascii="Arial" w:hAnsi="Arial"/>
          <w:b/>
          <w:b/>
          <w:bCs/>
          <w:iCs/>
          <w:color w:val="00000A"/>
          <w:sz w:val="16"/>
          <w:szCs w:val="16"/>
        </w:rPr>
      </w:pPr>
      <w:r>
        <w:rPr>
          <w:rFonts w:ascii="Arial" w:hAnsi="Arial"/>
          <w:b/>
          <w:bCs/>
          <w:iCs/>
          <w:color w:val="00000A"/>
          <w:sz w:val="16"/>
          <w:szCs w:val="16"/>
        </w:rPr>
      </w:r>
    </w:p>
    <w:tbl>
      <w:tblPr>
        <w:tblW w:w="9810"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Pr>
      <w:tblGrid>
        <w:gridCol w:w="400"/>
        <w:gridCol w:w="963"/>
        <w:gridCol w:w="4310"/>
        <w:gridCol w:w="1080"/>
        <w:gridCol w:w="794"/>
        <w:gridCol w:w="1184"/>
        <w:gridCol w:w="1"/>
        <w:gridCol w:w="1077"/>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pPr>
            <w:r>
              <w:rPr>
                <w:rStyle w:val="Fontepargpadro"/>
                <w:b/>
                <w:bCs/>
                <w:iCs/>
                <w:color w:val="00000A"/>
                <w:sz w:val="16"/>
                <w:szCs w:val="16"/>
              </w:rPr>
              <w:t>GRUPO 41: CAMPUS SERRA TALHADA – Padaria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Item</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Descrição</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Unidade</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Qtd.</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 Unitário</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507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Bolo bacia tipo 1 (Pacote com 10 unidades)</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Bolo Bacia: Bolo de trigo, em formas individuas , sem recheio nem coberturas, pesando entre 180g-220g cada. Empacotado em embalagem plástica contendo 10 unidades. Deve conter em sua embalagem a data de fabricação e de validade.</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2"/>
                <w:szCs w:val="12"/>
              </w:rPr>
              <w:t>Pacote c/ 10 unidades</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2560</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17,25</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44.160,00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508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Bolo bacia tipo 2 (Pacote com 10 unidades)</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Bolo Bacia: Bolo de trigo INTEGRAL, em forma individuas, sem recheio nem coberturas, pesando entre 180g-220g cada. Empacotado em embalagem plástica contendo 10 unidades. Deve conter em sua embalagem a data de fabricação e de validade.</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2"/>
                <w:szCs w:val="12"/>
              </w:rPr>
              <w:t>Pacote c/ 10 unidades</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2560</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30,60</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78.336,00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Torradas simples (Pacote com 500 g)</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Torrada simples, de pão dormido Tipo Francês ou Tabica. Embalagem plástica de 500g, contendo data de fabricação e validade. Validade mínima de 10 dias a contar da data de entrega.</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Pacote 500 g</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152</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7,17</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1.089,84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Contedodatabela"/>
              <w:jc w:val="center"/>
              <w:rPr/>
            </w:pPr>
            <w:r>
              <w:rPr>
                <w:sz w:val="14"/>
                <w:szCs w:val="14"/>
              </w:rPr>
              <w:t>510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Contedodatabela"/>
              <w:jc w:val="both"/>
              <w:rPr/>
            </w:pPr>
            <w:r>
              <w:rPr>
                <w:sz w:val="14"/>
                <w:szCs w:val="14"/>
              </w:rPr>
              <w:t>Pão de cachorro quente (Pacote)</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Contedodatabela"/>
              <w:jc w:val="both"/>
              <w:rPr/>
            </w:pPr>
            <w:r>
              <w:rPr>
                <w:sz w:val="14"/>
                <w:szCs w:val="14"/>
              </w:rPr>
              <w:t>Pão para cachorro quente.(Deverá apresentar validade mínima de 15 (quinze) dias a partir da data de entrega). Embalagem plástica contendo 10 unidades cada pacote.</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Contedodatabela"/>
              <w:jc w:val="center"/>
              <w:rPr/>
            </w:pPr>
            <w:r>
              <w:rPr>
                <w:b/>
                <w:bCs/>
                <w:sz w:val="14"/>
                <w:szCs w:val="14"/>
              </w:rPr>
              <w:t>Pacote c/ 10 unidades</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Contedodatabela"/>
              <w:jc w:val="center"/>
              <w:rPr/>
            </w:pPr>
            <w:r>
              <w:rPr>
                <w:b/>
                <w:bCs/>
                <w:sz w:val="14"/>
                <w:szCs w:val="14"/>
              </w:rPr>
              <w:t xml:space="preserve"> </w:t>
            </w:r>
            <w:r>
              <w:rPr>
                <w:b/>
                <w:bCs/>
                <w:sz w:val="14"/>
                <w:szCs w:val="14"/>
              </w:rPr>
              <w:t xml:space="preserve">1051 </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Contedodatabela"/>
              <w:jc w:val="center"/>
              <w:rPr/>
            </w:pPr>
            <w:r>
              <w:rPr>
                <w:rFonts w:eastAsia="Times New Roman" w:cs="Tahoma"/>
                <w:b/>
                <w:bCs/>
                <w:color w:val="00000A"/>
                <w:sz w:val="14"/>
                <w:szCs w:val="14"/>
                <w:lang w:val="pt-BR" w:eastAsia="pt-BR" w:bidi="ar-SA"/>
              </w:rPr>
              <w:t>4.782,05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Bolo de milho (Kg)</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Bolo de milho, novo, contendo data de validade e de fabricação. Embalado individualmente com plástico filme. A unidade deve variar de 2 a 4 kg</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773</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19,19</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14.833,87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sz w:val="14"/>
                <w:szCs w:val="14"/>
              </w:rPr>
              <w:t>512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Bolo de cenoura (Kg)</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both"/>
              <w:rPr/>
            </w:pPr>
            <w:r>
              <w:rPr>
                <w:sz w:val="14"/>
                <w:szCs w:val="14"/>
              </w:rPr>
              <w:t>Bolo de cenoura, novo, Sem cobertura, contendo data de validade e de fabricação. Embalado individualmente com plástico filme. A unidade deve variar de 2 a 4 kg.</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Kg</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4"/>
                <w:szCs w:val="14"/>
              </w:rPr>
              <w:t>773</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18,89</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rFonts w:eastAsia="Times New Roman" w:cs="Tahoma"/>
                <w:b/>
                <w:bCs/>
                <w:color w:val="00000A"/>
                <w:sz w:val="14"/>
                <w:szCs w:val="14"/>
                <w:lang w:val="pt-BR" w:eastAsia="pt-BR" w:bidi="ar-SA"/>
              </w:rPr>
              <w:t>14.601,97</w:t>
            </w:r>
          </w:p>
        </w:tc>
      </w:tr>
      <w:tr>
        <w:trPr/>
        <w:tc>
          <w:tcPr>
            <w:tcW w:w="873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20"/>
                <w:szCs w:val="20"/>
              </w:rPr>
              <w:t xml:space="preserve">Total em R$ </w:t>
            </w:r>
          </w:p>
        </w:tc>
        <w:tc>
          <w:tcPr>
            <w:tcW w:w="1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jc w:val="center"/>
              <w:rPr/>
            </w:pPr>
            <w:r>
              <w:rPr>
                <w:b/>
                <w:bCs/>
                <w:sz w:val="14"/>
                <w:szCs w:val="14"/>
              </w:rPr>
              <w:t>157.803,73</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r>
        <w:trPr/>
        <w:tc>
          <w:tcPr>
            <w:tcW w:w="873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6"/>
                <w:szCs w:val="16"/>
              </w:rPr>
              <w:t>Total estimado para os grupos 30 a 41</w:t>
            </w:r>
          </w:p>
        </w:tc>
        <w:tc>
          <w:tcPr>
            <w:tcW w:w="1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jc w:val="center"/>
              <w:rPr/>
            </w:pPr>
            <w:r>
              <w:rPr>
                <w:b/>
                <w:bCs/>
                <w:sz w:val="16"/>
                <w:szCs w:val="16"/>
              </w:rPr>
              <w:t>900.205,90</w:t>
            </w:r>
          </w:p>
        </w:tc>
      </w:tr>
      <w:tr>
        <w:trPr/>
        <w:tc>
          <w:tcPr>
            <w:tcW w:w="873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3" w:type="dxa"/>
            </w:tcMar>
            <w:vAlign w:val="center"/>
          </w:tcPr>
          <w:p>
            <w:pPr>
              <w:pStyle w:val="Contedodatabela"/>
              <w:jc w:val="center"/>
              <w:rPr/>
            </w:pPr>
            <w:r>
              <w:rPr>
                <w:b/>
                <w:bCs/>
                <w:sz w:val="16"/>
                <w:szCs w:val="16"/>
              </w:rPr>
              <w:t>Valor Total Estimado (Grupos 01 a 41: 512 itens)</w:t>
            </w:r>
          </w:p>
        </w:tc>
        <w:tc>
          <w:tcPr>
            <w:tcW w:w="1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3" w:type="dxa"/>
            </w:tcMar>
            <w:vAlign w:val="center"/>
          </w:tcPr>
          <w:p>
            <w:pPr>
              <w:pStyle w:val="Contedodatabela"/>
              <w:jc w:val="center"/>
              <w:rPr/>
            </w:pPr>
            <w:r>
              <w:rPr>
                <w:b/>
                <w:bCs/>
                <w:sz w:val="16"/>
                <w:szCs w:val="16"/>
              </w:rPr>
              <w:t>4.729.062,69</w:t>
            </w:r>
          </w:p>
        </w:tc>
      </w:tr>
    </w:tbl>
    <w:p>
      <w:pPr>
        <w:pStyle w:val="Contedodatabela"/>
        <w:spacing w:lineRule="auto" w:line="240" w:before="0" w:after="0"/>
        <w:rPr>
          <w:rStyle w:val="Fontepargpadro"/>
          <w:sz w:val="14"/>
          <w:szCs w:val="14"/>
        </w:rPr>
      </w:pPr>
      <w:r>
        <w:rPr>
          <w:sz w:val="14"/>
          <w:szCs w:val="14"/>
        </w:rPr>
      </w:r>
    </w:p>
    <w:p>
      <w:pPr>
        <w:pStyle w:val="Normal"/>
        <w:widowControl/>
        <w:tabs>
          <w:tab w:val="left" w:pos="1422" w:leader="none"/>
          <w:tab w:val="left" w:pos="1643" w:leader="none"/>
        </w:tabs>
        <w:bidi w:val="0"/>
        <w:spacing w:lineRule="auto" w:line="276" w:before="120" w:after="120"/>
        <w:ind w:left="159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1.2 Justificativa para o agrupamento de itens: </w:t>
      </w:r>
      <w:r>
        <w:rPr>
          <w:rFonts w:eastAsia="Times New Roman" w:cs="Times New Roman" w:ascii="Times New Roman" w:hAnsi="Times New Roman"/>
          <w:b w:val="false"/>
          <w:bCs w:val="false"/>
          <w:i w:val="false"/>
          <w:iCs w:val="false"/>
          <w:color w:val="000000"/>
          <w:sz w:val="22"/>
          <w:szCs w:val="22"/>
          <w:lang w:val="pt-BR" w:eastAsia="pt-BR" w:bidi="ar-SA"/>
        </w:rPr>
        <w:t>Trata-se de aquisição de gêneros Alimentícios para atender as demandas das Unidades do IF Sertão Pernambucano. Optou-se por realizar licitação em grupo pelo fato de existirem itens debaixo valor no mercado, posto que no caso dessa licitação realizada por item existiria o risco de empresas licitantes vencerem um ou alguns itens de baixo valor não trazendo nenhuma vantagem para sua comercialização. Outrossim, de acordo com o retrospecto dos pregões anteriores a administração deixou de adquirir itens importante para as atividades tendo em vista o não envio por parte das empresas alegando o custo de frete maior que o valor do material pedido. Além disso, prezando pela economicidade processual dando uma celeridade em todos os aspectos da contratação, desde a fase interna da licitação quanto na fase externa e suas nuances após o certame. Além disso, o agrupamento da forma que se encontra em nada impede a livre concorrência entre os licitantes, posto que os itens agrupados que o integrarão, guardam compatibilidade entre si, observando-se, inclusive as regras de mercado para a comercialização dos produtos, de modo a manter a competitividade necessária à disputa. Ante o exposto, é lícito os agrupamentos em lotes/grupos de itens a serem adquiridos por meio de pregão, desde que possuam mesma natureza e que guardem relação entre si. No entanto, a regra é que as licitações sejam por item, a fim de preservar a competitividade e fomentar a livre iniciativa, previstos, respectivamente, no art. 3º da Lei nº 8.666/93 e art. 1º, IV da Constituição. Ocorre, porém, que não visualizamos qualquer prejuízo na competitividade, posto que são itens encontráveis facilmente no mercado e sobre os quais procedeu-se a divisão de lotes/grupos pertinentes classes de itens. Destarte, o agrupamento não compromete a competitividade.</w:t>
      </w:r>
    </w:p>
    <w:p>
      <w:pPr>
        <w:pStyle w:val="Normal"/>
        <w:widowControl/>
        <w:tabs>
          <w:tab w:val="left" w:pos="1422" w:leader="none"/>
          <w:tab w:val="left" w:pos="1643" w:leader="none"/>
        </w:tabs>
        <w:bidi w:val="0"/>
        <w:spacing w:lineRule="auto" w:line="276" w:before="120" w:after="120"/>
        <w:ind w:left="159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p>
    <w:p>
      <w:pPr>
        <w:pStyle w:val="Normal"/>
        <w:numPr>
          <w:ilvl w:val="0"/>
          <w:numId w:val="0"/>
        </w:numPr>
        <w:spacing w:lineRule="auto" w:line="276" w:before="0" w:after="120"/>
        <w:ind w:left="36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 JUSTIFICATIVA E OBJETIVO DA CONTRATAÇÃO</w:t>
      </w:r>
    </w:p>
    <w:p>
      <w:pPr>
        <w:pStyle w:val="Textbody"/>
        <w:spacing w:lineRule="auto" w:line="276" w:before="0" w:after="120"/>
        <w:ind w:left="360" w:right="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Por primeiro, cabe informar que a aquisição em tela visa tão somente o interesse público, estando desvinculada de qualquer festividade, evento comemorativo, lanche, brinde ou refeição para servidores incompatível com as finalidades institucionais do IF Sertão-PE.</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2.1 Campus Petrolina: </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A aquisição de gêneros visa suprir as necessidades alimentares dos discentes durante o período letivo com qualidade e quantidade devidamente balizadas nos aspectos que atendam cumulativamente o PNAE, a OMS os órgãos de vigilância sanitária e sobretudo as limitações orçamentárias. Não obstante, o costume e a urbanidade em servir café predomina nos ambientes administrativos e de certo modo confere uma receptividade muito humana aos visitantes que procuram a administração pra assuntos diversos.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2.2 Reitoria: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Os itens solicitados servirão de suporte para o desenvolvimento das atividades por parte dos servidores, na promoção de pequenas reuniões e para um bom acolhimentos do público interno e externo da Instituição. Trata-se de uma iniciativa de promover o bem-estar de todos que fazem a instituição.</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2.3 Campus Ouricuri:</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Tendo em vista a necessidade de aquisição de gêneros alimentícios destinados para atendimento da demanda da Coordenação de Agroindústria no tocante a uma das fases essenciais no processo de aprendizagem, ou seja, as aulas práticas. O restante da demanda destina-se para atendimento das necessidades gerais do campus, no tocante ao setor da copa.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2.4 Campus Petrolina Zona Rural:</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Os materiais solicitados pelo Campus Petrolina Zona Rural, visam atender as necessidades institucionais de diversos setores em atendimento a comunidade acadêmica. A unidade de alimentação e nutrição é o maior demandante porque atende diariamente as refeições de todos os servidores, alunos, terceirizados. Os materiais são extremamente importantes e essenciais para o atendimento institucional.</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2.5 Campus Floresta:</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Os gêneros serão usados para o preparo de café a ser consumido no dia a dia do Campus, pelos servidores, assim como em eventos de modo geral promovidos para a comunidade interna e externa.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2.6 Campus Serra Talhada:</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A demanda atenderá a demanda do refeitório em sua implantação com previsão em 2019.</w:t>
        <w:br/>
        <w:t>O intuito é fornecer almoço para os alunos do curso técnico em nível que ficarem nos dias de aulas em 02 turno, lanche para os alunos subsequente e superior e jantar/lanche para o PROEJA.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2.7 Campus Santa Maria da Boa Vista:</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Justifica-se em razão do atendimento aos servidores, eventos e reuniões em que haja necessidade de café e açúcar.</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2.8 Campus Salgueiro: </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O Campus Salgueiro do IF Sertão Pernambucano tem como atribuição dentre</w:t>
        <w:br/>
        <w:t>outras, propiciar a atenção adequada às suas coordenações, de maneira que as</w:t>
        <w:br/>
        <w:t>mesmas desempenhem suas funções administrativas ou operacionais de forma a</w:t>
        <w:br/>
        <w:t>atender o princípio da eficiência e qualidade. Para atendimento as demandas da</w:t>
        <w:br/>
        <w:t>Coordenação de Alimentos e às necessidades da Copa, fez-se necessário o</w:t>
        <w:br/>
        <w:t>levantamento das demandas com levantamento do consumo médio e a referida previsão e a quantidade a ser adquirida foram feitos com base nas planilhas de</w:t>
        <w:br/>
        <w:t xml:space="preserve">demandas apresentadas através de Memorandos inseridos no sistema SICABS. </w:t>
        <w:br/>
      </w:r>
    </w:p>
    <w:p>
      <w:pPr>
        <w:pStyle w:val="Normal"/>
        <w:numPr>
          <w:ilvl w:val="0"/>
          <w:numId w:val="0"/>
        </w:numPr>
        <w:spacing w:lineRule="auto" w:line="276" w:before="120" w:after="120"/>
        <w:ind w:left="36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3. CLASSIFICAÇÃO DOS BENS COMUNS</w:t>
      </w:r>
    </w:p>
    <w:p>
      <w:pPr>
        <w:pStyle w:val="Normal"/>
        <w:numPr>
          <w:ilvl w:val="0"/>
          <w:numId w:val="0"/>
        </w:numPr>
        <w:spacing w:lineRule="auto" w:line="276" w:before="120" w:after="120"/>
        <w:ind w:left="36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3.1  Os bens a serem adquiridos enquadram-se na classificação de bens comuns, nos termos da Lei nº 10.520, de 2002, do Decreto nº 3.555, de 2000, e do art. 9º, I, Decreto 5.450, de 2005.</w:t>
      </w:r>
    </w:p>
    <w:p>
      <w:pPr>
        <w:pStyle w:val="Normal"/>
        <w:numPr>
          <w:ilvl w:val="0"/>
          <w:numId w:val="0"/>
        </w:numPr>
        <w:spacing w:lineRule="auto" w:line="276" w:before="120" w:after="120"/>
        <w:ind w:left="36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3.2 Será utilizado o Sistema de Registro de Preços, uma vez que a compra se dará de forma parcelada, durante a vigência da ata, ademais, a aquisição se dará por mais de um órgão, logo, atendendo às hipóteses do Decreto nº 7.892/2013.</w:t>
      </w:r>
    </w:p>
    <w:p>
      <w:pPr>
        <w:pStyle w:val="Normal"/>
        <w:spacing w:lineRule="auto" w:line="276" w:before="120" w:after="12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120" w:after="120"/>
        <w:ind w:left="36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4. ENTREGA E CRITÉRIOS DE ACEITAÇÃO DO OBJETO</w:t>
      </w:r>
    </w:p>
    <w:p>
      <w:pPr>
        <w:pStyle w:val="Normal"/>
        <w:numPr>
          <w:ilvl w:val="0"/>
          <w:numId w:val="0"/>
        </w:numPr>
        <w:spacing w:lineRule="auto" w:line="276" w:before="120" w:after="120"/>
        <w:ind w:left="1141"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4.1 O prazo de entrega dos bens é de 08 (OITO) DIAS CORRIDOS, contados da ENTREGA DO TERMO DE SOLICITAÇÃO, em REMESSA PARCELADA, nos seguintes endereços:</w:t>
      </w:r>
    </w:p>
    <w:p>
      <w:pPr>
        <w:pStyle w:val="Normal"/>
        <w:spacing w:lineRule="auto" w:line="276" w:before="120" w:after="120"/>
        <w:ind w:left="1142"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4.1.1. </w:t>
      </w:r>
      <w:r>
        <w:rPr>
          <w:rStyle w:val="Fontepargpadro1"/>
          <w:rFonts w:eastAsia="Times New Roman" w:cs="Times New Roman" w:ascii="Times New Roman" w:hAnsi="Times New Roman"/>
          <w:b/>
          <w:bCs/>
          <w:i w:val="false"/>
          <w:iCs w:val="false"/>
          <w:color w:val="000000"/>
          <w:sz w:val="22"/>
          <w:szCs w:val="22"/>
          <w:lang w:val="pt-BR" w:eastAsia="pt-BR" w:bidi="ar-SA"/>
        </w:rPr>
        <w:t>Instituto Federal de Educação, Ciência e Tecnologia Sertão Pernambucano, Campus Petrolina, Rua Maria Luzia de Araújo Gomes Cabral, SN, Bairro João de Deus, CEP 56316-686, Petrolina-PE. Telefone: (87) 2101-4300</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 – A</w:t>
      </w:r>
      <w:r>
        <w:rPr>
          <w:rFonts w:eastAsia="Times New Roman" w:cs="Times New Roman" w:ascii="Times New Roman" w:hAnsi="Times New Roman"/>
          <w:b w:val="false"/>
          <w:bCs w:val="false"/>
          <w:i w:val="false"/>
          <w:iCs w:val="false"/>
          <w:color w:val="000000"/>
          <w:sz w:val="22"/>
          <w:szCs w:val="22"/>
          <w:lang w:val="pt-BR" w:eastAsia="pt-BR" w:bidi="ar-SA"/>
        </w:rPr>
        <w:t>penas o</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s itens que se referem aos </w:t>
      </w:r>
      <w:r>
        <w:rPr>
          <w:rStyle w:val="Fontepargpadro1"/>
          <w:rFonts w:eastAsia="Times New Roman" w:cs="Times New Roman" w:ascii="Times New Roman" w:hAnsi="Times New Roman"/>
          <w:b/>
          <w:bCs/>
          <w:i w:val="false"/>
          <w:iCs w:val="false"/>
          <w:color w:val="000000"/>
          <w:sz w:val="22"/>
          <w:szCs w:val="22"/>
          <w:lang w:val="pt-BR" w:eastAsia="pt-BR" w:bidi="ar-SA"/>
        </w:rPr>
        <w:t xml:space="preserve">campi Petrolina, Santa Maria, Ouricuri, Salgueiro e Floresta. </w:t>
      </w:r>
    </w:p>
    <w:p>
      <w:pPr>
        <w:pStyle w:val="Normal"/>
        <w:spacing w:lineRule="auto" w:line="276" w:before="120" w:after="120"/>
        <w:ind w:left="1142" w:right="0" w:hanging="0"/>
        <w:jc w:val="both"/>
        <w:rPr/>
      </w:pP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4.1.2. </w:t>
      </w:r>
      <w:r>
        <w:rPr>
          <w:rStyle w:val="Fontepargpadro1"/>
          <w:rFonts w:eastAsia="Times New Roman" w:cs="Times New Roman" w:ascii="Times New Roman" w:hAnsi="Times New Roman"/>
          <w:b/>
          <w:bCs/>
          <w:i w:val="false"/>
          <w:iCs w:val="false"/>
          <w:color w:val="000000"/>
          <w:sz w:val="22"/>
          <w:szCs w:val="22"/>
          <w:lang w:val="pt-BR" w:eastAsia="pt-BR" w:bidi="ar-SA"/>
        </w:rPr>
        <w:t xml:space="preserve">Instituto Federal de Educação, Ciência e Tecnologia Sertão Pernambucano, Campus Petrolina Zona Rural, Rodovia BR 235, Km 22, Projeto Senador Nilo Coelho N4, Petrolina-PE; Telefone: (87) 2101-8050 – </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Apenas os itens que se referem ao</w:t>
      </w:r>
      <w:r>
        <w:rPr>
          <w:rStyle w:val="Fontepargpadro1"/>
          <w:rFonts w:eastAsia="Times New Roman" w:cs="Times New Roman" w:ascii="Times New Roman" w:hAnsi="Times New Roman"/>
          <w:b/>
          <w:bCs/>
          <w:i w:val="false"/>
          <w:iCs w:val="false"/>
          <w:color w:val="000000"/>
          <w:sz w:val="22"/>
          <w:szCs w:val="22"/>
          <w:lang w:val="pt-BR" w:eastAsia="pt-BR" w:bidi="ar-SA"/>
        </w:rPr>
        <w:t xml:space="preserve"> Campus Petrolina Zona Rural</w:t>
      </w:r>
    </w:p>
    <w:p>
      <w:pPr>
        <w:pStyle w:val="Normal"/>
        <w:widowControl/>
        <w:tabs>
          <w:tab w:val="left" w:pos="1135" w:leader="none"/>
        </w:tabs>
        <w:overflowPunct w:val="false"/>
        <w:bidi w:val="0"/>
        <w:spacing w:lineRule="auto" w:line="276" w:before="120" w:after="120"/>
        <w:ind w:left="1134" w:right="0" w:hanging="0"/>
        <w:jc w:val="both"/>
        <w:rPr/>
      </w:pP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4.1.3. </w:t>
      </w:r>
      <w:r>
        <w:rPr>
          <w:rStyle w:val="Fontepargpadro1"/>
          <w:rFonts w:eastAsia="Times New Roman" w:cs="Times New Roman" w:ascii="Times New Roman" w:hAnsi="Times New Roman"/>
          <w:b/>
          <w:bCs/>
          <w:i w:val="false"/>
          <w:iCs w:val="false"/>
          <w:color w:val="000000"/>
          <w:sz w:val="22"/>
          <w:szCs w:val="22"/>
          <w:lang w:val="pt-BR" w:eastAsia="pt-BR" w:bidi="ar-SA"/>
        </w:rPr>
        <w:t xml:space="preserve">Instituto Federal de Educação, Ciência e Tecnologia Sertão Pernambucano, Reitoria, Rua Aristarco Lopes, 240, Centro, Petrolina-PE; Telefone: (87) 2101-2350 – </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Nesse endereço serão entregue os itens que se referem a</w:t>
      </w:r>
      <w:r>
        <w:rPr>
          <w:rStyle w:val="Fontepargpadro1"/>
          <w:rFonts w:eastAsia="Times New Roman" w:cs="Times New Roman" w:ascii="Times New Roman" w:hAnsi="Times New Roman"/>
          <w:b/>
          <w:bCs/>
          <w:i w:val="false"/>
          <w:iCs w:val="false"/>
          <w:color w:val="000000"/>
          <w:sz w:val="22"/>
          <w:szCs w:val="22"/>
          <w:lang w:val="pt-BR" w:eastAsia="pt-BR" w:bidi="ar-SA"/>
        </w:rPr>
        <w:t xml:space="preserve"> Reitoria.</w:t>
      </w:r>
    </w:p>
    <w:p>
      <w:pPr>
        <w:pStyle w:val="Normal"/>
        <w:widowControl/>
        <w:tabs>
          <w:tab w:val="left" w:pos="1135" w:leader="none"/>
        </w:tabs>
        <w:overflowPunct w:val="false"/>
        <w:bidi w:val="0"/>
        <w:spacing w:lineRule="auto" w:line="276" w:before="120" w:after="120"/>
        <w:ind w:left="1134" w:right="0" w:hanging="0"/>
        <w:jc w:val="both"/>
        <w:rPr/>
      </w:pP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4.14. </w:t>
      </w:r>
      <w:r>
        <w:rPr>
          <w:rStyle w:val="Fontepargpadro1"/>
          <w:rFonts w:eastAsia="Times New Roman" w:cs="Times New Roman" w:ascii="Times New Roman" w:hAnsi="Times New Roman"/>
          <w:b/>
          <w:bCs/>
          <w:i w:val="false"/>
          <w:iCs w:val="false"/>
          <w:color w:val="000000"/>
          <w:sz w:val="22"/>
          <w:szCs w:val="22"/>
          <w:lang w:val="pt-BR" w:eastAsia="pt-BR" w:bidi="ar-SA"/>
        </w:rPr>
        <w:t xml:space="preserve">Instituto Federal de Educação, Ciência e Tecnologia Sertão Pernambucano, </w:t>
      </w:r>
      <w:bookmarkStart w:id="13" w:name="__DdeLink__56933_652275773"/>
      <w:r>
        <w:rPr>
          <w:rStyle w:val="Fontepargpadro1"/>
          <w:rFonts w:eastAsia="Times New Roman" w:cs="Times New Roman" w:ascii="Times New Roman" w:hAnsi="Times New Roman"/>
          <w:b/>
          <w:bCs/>
          <w:i w:val="false"/>
          <w:iCs w:val="false"/>
          <w:color w:val="000000"/>
          <w:sz w:val="22"/>
          <w:szCs w:val="22"/>
          <w:lang w:val="pt-BR" w:eastAsia="pt-BR" w:bidi="ar-SA"/>
        </w:rPr>
        <w:t>Campus Serra Talhada</w:t>
      </w:r>
      <w:bookmarkEnd w:id="13"/>
      <w:r>
        <w:rPr>
          <w:rStyle w:val="Fontepargpadro1"/>
          <w:rFonts w:eastAsia="Times New Roman" w:cs="Times New Roman" w:ascii="Times New Roman" w:hAnsi="Times New Roman"/>
          <w:b/>
          <w:bCs/>
          <w:i w:val="false"/>
          <w:iCs w:val="false"/>
          <w:color w:val="000000"/>
          <w:sz w:val="22"/>
          <w:szCs w:val="22"/>
          <w:lang w:val="pt-BR" w:eastAsia="pt-BR" w:bidi="ar-SA"/>
        </w:rPr>
        <w:t xml:space="preserve">, </w:t>
      </w:r>
      <w:r>
        <w:rPr>
          <w:rStyle w:val="Fontepargpadro1"/>
          <w:rFonts w:eastAsia="Times New Roman" w:cs="Arial" w:ascii="Liberation Serif" w:hAnsi="Liberation Serif"/>
          <w:b/>
          <w:bCs/>
          <w:i w:val="false"/>
          <w:iCs w:val="false"/>
          <w:color w:val="000000"/>
          <w:sz w:val="19"/>
          <w:szCs w:val="19"/>
          <w:lang w:val="pt-BR" w:eastAsia="pt-BR" w:bidi="ar-SA"/>
        </w:rPr>
        <w:t>PE 320, Km 126, Fazenda Estreito, Zona Rural</w:t>
      </w:r>
      <w:r>
        <w:rPr>
          <w:rStyle w:val="Fontepargpadro1"/>
          <w:rFonts w:eastAsia="Times New Roman" w:cs="Arial" w:ascii="Liberation Serif" w:hAnsi="Liberation Serif"/>
          <w:b/>
          <w:bCs/>
          <w:i w:val="false"/>
          <w:iCs w:val="false"/>
          <w:color w:val="000000"/>
          <w:sz w:val="19"/>
          <w:szCs w:val="19"/>
          <w:lang w:val="pt-BR" w:eastAsia="pt-BR" w:bidi="ar-SA"/>
        </w:rPr>
        <w:t xml:space="preserve">, </w:t>
      </w:r>
      <w:r>
        <w:rPr>
          <w:rStyle w:val="Fontepargpadro1"/>
          <w:rFonts w:eastAsia="Times New Roman" w:cs="Arial" w:ascii="Liberation Serif" w:hAnsi="Liberation Serif"/>
          <w:b/>
          <w:bCs/>
          <w:i w:val="false"/>
          <w:iCs w:val="false"/>
          <w:color w:val="000000"/>
          <w:sz w:val="19"/>
          <w:szCs w:val="19"/>
          <w:lang w:val="pt-BR" w:eastAsia="pt-BR" w:bidi="ar-SA"/>
        </w:rPr>
        <w:t>S/N</w:t>
      </w:r>
      <w:r>
        <w:rPr>
          <w:rStyle w:val="Fontepargpadro1"/>
          <w:rFonts w:eastAsia="Times New Roman" w:cs="Arial" w:ascii="Liberation Serif" w:hAnsi="Liberation Serif"/>
          <w:b/>
          <w:bCs/>
          <w:i w:val="false"/>
          <w:iCs w:val="false"/>
          <w:color w:val="000000"/>
          <w:sz w:val="19"/>
          <w:szCs w:val="19"/>
          <w:lang w:val="pt-BR" w:eastAsia="pt-BR" w:bidi="ar-SA"/>
        </w:rPr>
        <w:t xml:space="preserve">  CEP: 56.9</w:t>
      </w:r>
      <w:r>
        <w:rPr>
          <w:rStyle w:val="Fontepargpadro1"/>
          <w:rFonts w:eastAsia="Times New Roman" w:cs="Arial" w:ascii="Liberation Serif" w:hAnsi="Liberation Serif"/>
          <w:b/>
          <w:bCs/>
          <w:i w:val="false"/>
          <w:iCs w:val="false"/>
          <w:color w:val="000000"/>
          <w:sz w:val="19"/>
          <w:szCs w:val="19"/>
          <w:lang w:val="pt-BR" w:eastAsia="pt-BR" w:bidi="ar-SA"/>
        </w:rPr>
        <w:t>00</w:t>
      </w:r>
      <w:r>
        <w:rPr>
          <w:rStyle w:val="Fontepargpadro1"/>
          <w:rFonts w:eastAsia="Times New Roman" w:cs="Arial" w:ascii="Liberation Serif" w:hAnsi="Liberation Serif"/>
          <w:b/>
          <w:bCs/>
          <w:i w:val="false"/>
          <w:iCs w:val="false"/>
          <w:color w:val="000000"/>
          <w:sz w:val="19"/>
          <w:szCs w:val="19"/>
          <w:lang w:val="pt-BR" w:eastAsia="pt-BR" w:bidi="ar-SA"/>
        </w:rPr>
        <w:t>-</w:t>
      </w:r>
      <w:r>
        <w:rPr>
          <w:rStyle w:val="Fontepargpadro1"/>
          <w:rFonts w:eastAsia="Times New Roman" w:cs="Arial" w:ascii="Liberation Serif" w:hAnsi="Liberation Serif"/>
          <w:b/>
          <w:bCs/>
          <w:i w:val="false"/>
          <w:iCs w:val="false"/>
          <w:color w:val="000000"/>
          <w:sz w:val="19"/>
          <w:szCs w:val="19"/>
          <w:lang w:val="pt-BR" w:eastAsia="pt-BR" w:bidi="ar-SA"/>
        </w:rPr>
        <w:t>00</w:t>
      </w:r>
      <w:r>
        <w:rPr>
          <w:rStyle w:val="Fontepargpadro1"/>
          <w:rFonts w:eastAsia="Times New Roman" w:cs="Arial" w:ascii="Liberation Serif" w:hAnsi="Liberation Serif"/>
          <w:b/>
          <w:bCs/>
          <w:i w:val="false"/>
          <w:iCs w:val="false"/>
          <w:color w:val="000000"/>
          <w:sz w:val="19"/>
          <w:szCs w:val="19"/>
          <w:lang w:val="pt-BR" w:eastAsia="pt-BR" w:bidi="ar-SA"/>
        </w:rPr>
        <w:t xml:space="preserve">0 – Serra Talhada-PE - Fone: (87) 9 </w:t>
      </w:r>
      <w:r>
        <w:rPr>
          <w:rStyle w:val="Fontepargpadro1"/>
          <w:rFonts w:eastAsia="Times New Roman" w:cs="Arial" w:ascii="Liberation Serif" w:hAnsi="Liberation Serif"/>
          <w:b/>
          <w:bCs/>
          <w:i w:val="false"/>
          <w:iCs w:val="false"/>
          <w:color w:val="000000"/>
          <w:sz w:val="19"/>
          <w:szCs w:val="19"/>
          <w:lang w:val="pt-BR" w:eastAsia="pt-BR" w:bidi="ar-SA"/>
        </w:rPr>
        <w:t>8866</w:t>
      </w:r>
      <w:r>
        <w:rPr>
          <w:rStyle w:val="Fontepargpadro1"/>
          <w:rFonts w:eastAsia="Times New Roman" w:cs="Arial" w:ascii="Liberation Serif" w:hAnsi="Liberation Serif"/>
          <w:b/>
          <w:bCs/>
          <w:i w:val="false"/>
          <w:iCs w:val="false"/>
          <w:color w:val="000000"/>
          <w:sz w:val="19"/>
          <w:szCs w:val="19"/>
          <w:lang w:val="pt-BR" w:eastAsia="pt-BR" w:bidi="ar-SA"/>
        </w:rPr>
        <w:t>-</w:t>
      </w:r>
      <w:r>
        <w:rPr>
          <w:rStyle w:val="Fontepargpadro1"/>
          <w:rFonts w:eastAsia="Times New Roman" w:cs="Arial" w:ascii="Liberation Serif" w:hAnsi="Liberation Serif"/>
          <w:b/>
          <w:bCs/>
          <w:i w:val="false"/>
          <w:iCs w:val="false"/>
          <w:color w:val="000000"/>
          <w:sz w:val="19"/>
          <w:szCs w:val="19"/>
          <w:lang w:val="pt-BR" w:eastAsia="pt-BR" w:bidi="ar-SA"/>
        </w:rPr>
        <w:t xml:space="preserve">1978. </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Nesse endereço serão entregue os itens que se referem a</w:t>
      </w:r>
      <w:r>
        <w:rPr>
          <w:rStyle w:val="Fontepargpadro1"/>
          <w:rFonts w:eastAsia="Times New Roman" w:cs="Times New Roman" w:ascii="Times New Roman" w:hAnsi="Times New Roman"/>
          <w:b/>
          <w:bCs/>
          <w:i w:val="false"/>
          <w:iCs w:val="false"/>
          <w:color w:val="000000"/>
          <w:sz w:val="22"/>
          <w:szCs w:val="22"/>
          <w:lang w:val="pt-BR" w:eastAsia="pt-BR" w:bidi="ar-SA"/>
        </w:rPr>
        <w:t>o  Campus Serra Talhada.</w:t>
      </w:r>
    </w:p>
    <w:p>
      <w:pPr>
        <w:pStyle w:val="Normal"/>
        <w:widowControl/>
        <w:tabs>
          <w:tab w:val="left" w:pos="1135" w:leader="none"/>
        </w:tabs>
        <w:overflowPunct w:val="false"/>
        <w:bidi w:val="0"/>
        <w:spacing w:lineRule="auto" w:line="276" w:before="120" w:after="120"/>
        <w:ind w:left="1134" w:right="0" w:hanging="0"/>
        <w:jc w:val="both"/>
        <w:rPr>
          <w:rStyle w:val="Fontepargpadro1"/>
          <w:rFonts w:ascii="Times New Roman" w:hAnsi="Times New Roman" w:eastAsia="Times New Roman" w:cs="Times New Roman"/>
          <w:b/>
          <w:b/>
          <w:bCs/>
          <w:i w:val="false"/>
          <w:i w:val="false"/>
          <w:iCs w:val="false"/>
          <w:color w:val="000000"/>
          <w:sz w:val="22"/>
          <w:szCs w:val="22"/>
          <w:lang w:val="pt-BR" w:eastAsia="pt-BR" w:bidi="ar-SA"/>
        </w:rPr>
      </w:pPr>
      <w:r>
        <w:rPr/>
      </w:r>
    </w:p>
    <w:p>
      <w:pPr>
        <w:pStyle w:val="Normal"/>
        <w:widowControl/>
        <w:tabs>
          <w:tab w:val="left" w:pos="1135" w:leader="none"/>
        </w:tabs>
        <w:overflowPunct w:val="false"/>
        <w:bidi w:val="0"/>
        <w:spacing w:lineRule="auto" w:line="276" w:before="120" w:after="120"/>
        <w:ind w:left="1134" w:right="0" w:hanging="85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r>
        <w:rPr>
          <w:rFonts w:eastAsia="Times New Roman" w:cs="Times New Roman" w:ascii="Times New Roman" w:hAnsi="Times New Roman"/>
          <w:b w:val="false"/>
          <w:bCs w:val="false"/>
          <w:i w:val="false"/>
          <w:iCs w:val="false"/>
          <w:color w:val="000000"/>
          <w:sz w:val="22"/>
          <w:szCs w:val="22"/>
          <w:lang w:val="pt-BR" w:eastAsia="pt-BR" w:bidi="ar-SA"/>
        </w:rPr>
        <w:t>4.2  No caso de produtos perecíveis, o prazo de validade na data da entrega não poderá ser inferior a metade do prazo total recomendado pelo fabricante.</w:t>
      </w:r>
    </w:p>
    <w:p>
      <w:pPr>
        <w:pStyle w:val="Normal"/>
        <w:numPr>
          <w:ilvl w:val="0"/>
          <w:numId w:val="0"/>
        </w:numPr>
        <w:spacing w:lineRule="auto" w:line="276" w:before="120" w:after="120"/>
        <w:ind w:left="2347" w:right="0" w:hanging="0"/>
        <w:jc w:val="both"/>
        <w:rPr>
          <w:highlight w:val="magenta"/>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r>
        <w:rPr>
          <w:rFonts w:eastAsia="Times New Roman" w:cs="Times New Roman" w:ascii="Times New Roman" w:hAnsi="Times New Roman"/>
          <w:b w:val="false"/>
          <w:bCs w:val="false"/>
          <w:i w:val="false"/>
          <w:iCs w:val="false"/>
          <w:color w:val="000000"/>
          <w:sz w:val="22"/>
          <w:szCs w:val="22"/>
          <w:lang w:val="pt-BR" w:eastAsia="pt-BR" w:bidi="ar-SA"/>
        </w:rPr>
        <w:t xml:space="preserve">4.3 Os bens serão recebidos provisoriamente no prazo de 03(três) dias, pelo(a) responsável pelo acompanhamento e fiscalização do contrato, para efeito de posterior verificação de sua conformidade com as especificações constantes neste Termo de Referência e na proposta. </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4.4 Os bens poderão ser rejeitados, no todo ou em parte, quando em desacordo com as especificações constantes neste Termo de Referência e na proposta, devendo ser substituídos no prazo de 03(três) dias, a contar da notificação da contratada, às suas custas, sem prejuízo da aplicação das penalidades.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4.5. Os bens serão recebidos definitivamente no prazo de 03(três) dias, contados do recebimento provisório, após a verificação da qualidade e quantidade do material e consequente aceitação mediante termo circunstanciado.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4.5.1 Na hipótese de a verificação a que se refere o subitem anterior não ser procedida dentro do prazo fixado, reputar-se-á como realizada, consumando-se o recebimento definitivo no dia do esgotamento do prazo.</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4.6. O recebimento provisório ou definitivo do objeto não exclui a responsabilidade da contratada pelos prejuízos resultantes da incorreta execução do contrato.</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120" w:after="120"/>
        <w:ind w:left="36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5. DAS OBRIGAÇÕES DA CONTRATANTE</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 São obrigações da Contratante:</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5.1.1 receber o objeto no prazo e condições estabelecidas no Edital e seus anexos;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5.1.2 verificar minuciosamente, no prazo fixado, a conformidade dos bens recebidos provisoriamente com as especificações constantes do Edital e da proposta, para fins de aceitação e recebimento definitivo;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5.1.3 comunicar à Contratada, por escrito, sobre imperfeições, falhas ou irregularidades verificadas no objeto fornecido, para que seja substituído, reparado ou corrigido;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5.1.4 acompanhar e fiscalizar o cumprimento das obrigações da Contratada, através de comissão/servidor especialmente designado;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5.1.5 efetuar o pagamento à Contratada no valor correspondente ao fornecimento do objeto, no prazo e forma estabelecidos no Edital e seus anexos;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5.3. A Administração realizará pesquisa de preços periodicamente, em prazo não superior a 180 (cento e oitenta) dias, a fim de verificar a vantajosidade dos preços registrados em Ata.</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6. OBRIGAÇÕES DA CONTRATADA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 A Contratada deve cumprir todas as obrigações constantes no Edital, seus anexos e sua proposta, assumindo como exclusivamente seus os riscos e as despesas decorrentes da boa e perfeita execução do objeto e, ainda:</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6.1.1 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6.1.2 responsabilizar-se pelos vícios e danos decorrentes do objeto, de acordo com os artigos 12, 13 e 17 a 27, do Código de Defesa do Consumidor (Lei nº 8.078, de 1990);</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6.1.3 substituir, reparar ou corrigir, às suas expensas, no prazo fixado neste Termo de Referência, o objeto com avarias ou defeitos;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6.1.4. comunicar à Contratante, no prazo máximo de 24 (vinte e quatro) horas que antecede a data da entrega, os motivos que impossibilitem o cumprimento do prazo previsto, com a devida comprovação;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6.1.5 manter, durante toda a execução do contrato, em compatibilidade com as obrigações assumidas, todas as condições de habilitação e qualificação exigidas na licitação;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6.1.6 indicar preposto para representá-la durante a execução do contrato.</w:t>
      </w:r>
    </w:p>
    <w:p>
      <w:pPr>
        <w:pStyle w:val="Normal"/>
        <w:spacing w:lineRule="auto" w:line="276" w:before="0" w:after="120"/>
        <w:ind w:left="360" w:right="-15"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120" w:after="120"/>
        <w:ind w:left="36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7. DA SUBCONTRATAÇÃO</w:t>
      </w:r>
    </w:p>
    <w:p>
      <w:pPr>
        <w:pStyle w:val="Normal"/>
        <w:spacing w:lineRule="auto" w:line="276" w:before="120" w:after="120"/>
        <w:ind w:left="425"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7.1 Não será admitida a subcontratação do objeto licitatório.</w:t>
      </w:r>
    </w:p>
    <w:p>
      <w:pPr>
        <w:pStyle w:val="Normal"/>
        <w:spacing w:lineRule="auto" w:line="276" w:before="120" w:after="120"/>
        <w:ind w:left="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8. ALTERAÇÃO SUBJETIVA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8.1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spacing w:lineRule="auto" w:line="276" w:before="120" w:after="120"/>
        <w:ind w:left="425"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9. CONTROLE DA EXECUÇÃO</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9.1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9.1.1 O recebimento de material de valor superior a R$ 80.000,00 (oitenta mil reais) será confiado a uma comissão de, no mínimo, 3 (três) membros, designados pela autoridade competente.</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9.2. A fiscalização de que trata este item não exclui nem reduz a responsabilidade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1993.</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spacing w:lineRule="auto" w:line="276" w:before="0" w:after="120"/>
        <w:ind w:left="540" w:right="-17"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10. DAS SANÇÕES ADMINISTRATIVAS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 Comete infração administrativa nos termos da Lei nº 8.666, de 1993 e da Lei nº 10.520, de 2002, a Contratada que:</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10.1.1 inexecutar total ou parcialmente qualquer das obrigações assumidas em decorrência da contratação;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10.1.2 ensejar o retardamento da execução do objeto;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10.1.3 fraudar na execução do contrato;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10.1.4 comportar-se de modo inidôneo;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10.1.5 cometer fraude fiscal;</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10.1.6 não mantiver a proposta.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 A Contratada que cometer qualquer das infrações discriminadas no subitem acima ficará sujeita, sem prejuízo da responsabilidade civil e criminal, às seguintes sanções: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10.2.1 advertência por faltas leves, assim entendidas aquelas que não acarretem prejuízos significativos para a Contratante;</w:t>
      </w:r>
    </w:p>
    <w:p>
      <w:pPr>
        <w:pStyle w:val="Normal"/>
        <w:numPr>
          <w:ilvl w:val="0"/>
          <w:numId w:val="0"/>
        </w:numPr>
        <w:spacing w:lineRule="auto" w:line="276" w:before="120" w:after="120"/>
        <w:ind w:left="1922"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10.2.2 0,5% (zero vírgula cinco por cento) por dia de atraso injustificado sobre o valor da parcela inadimplida, até o limite de 20 (vinte) dias;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10.2.3 multa compensatória de 10% (dez por cento) sobre o valor total do contrato, no caso de inexecução total do objeto;</w:t>
      </w:r>
    </w:p>
    <w:p>
      <w:pPr>
        <w:pStyle w:val="Normal"/>
        <w:numPr>
          <w:ilvl w:val="0"/>
          <w:numId w:val="0"/>
        </w:numPr>
        <w:spacing w:lineRule="auto" w:line="276" w:before="120" w:after="120"/>
        <w:ind w:left="3056" w:right="0" w:hanging="0"/>
        <w:jc w:val="both"/>
        <w:rPr>
          <w:highlight w:val="darkYellow"/>
        </w:rPr>
      </w:pPr>
      <w:r>
        <w:rPr>
          <w:rFonts w:eastAsia="Times New Roman" w:cs="Times New Roman" w:ascii="Times New Roman" w:hAnsi="Times New Roman"/>
          <w:b w:val="false"/>
          <w:bCs w:val="false"/>
          <w:i w:val="false"/>
          <w:iCs w:val="false"/>
          <w:color w:val="000000"/>
          <w:sz w:val="22"/>
          <w:szCs w:val="22"/>
          <w:lang w:val="pt-BR" w:eastAsia="pt-BR" w:bidi="ar-SA"/>
        </w:rPr>
        <w:t>10.2.4 em caso de inexecução parcial, a multa compensatória, no mesmo percentual do subitem acima, será aplicada de forma proporcional à obrigação inadimplida;</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10.2.5 </w:t>
      </w:r>
      <w:r>
        <w:rPr>
          <w:rFonts w:eastAsia="Times New Roman" w:cs="Times New Roman" w:ascii="Times New Roman" w:hAnsi="Times New Roman"/>
          <w:b w:val="false"/>
          <w:bCs w:val="false"/>
          <w:i w:val="false"/>
          <w:iCs w:val="false"/>
          <w:color w:val="000000"/>
          <w:sz w:val="22"/>
          <w:szCs w:val="22"/>
          <w:lang w:val="pt-BR" w:eastAsia="pt-BR" w:bidi="ar-SA"/>
        </w:rPr>
        <w:t xml:space="preserve">suspensão de licitar e impedimento de contratar com o órgão, entidade ou unidade administrativa pela qual a Administração Pública opera e atua concretamente, pelo prazo de até dois anos; </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10.2.6. </w:t>
      </w:r>
      <w:r>
        <w:rPr>
          <w:rFonts w:eastAsia="Times New Roman" w:cs="Times New Roman" w:ascii="Times New Roman" w:hAnsi="Times New Roman"/>
          <w:b w:val="false"/>
          <w:bCs w:val="false"/>
          <w:i w:val="false"/>
          <w:iCs w:val="false"/>
          <w:color w:val="000000"/>
          <w:sz w:val="22"/>
          <w:szCs w:val="22"/>
          <w:lang w:val="pt-BR" w:eastAsia="pt-BR" w:bidi="ar-SA"/>
        </w:rPr>
        <w:t>impedimento de licitar e contratar com a União com o consequente descredenciamento no SICAF pelo prazo de até cinco anos;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10.2.7 </w:t>
      </w:r>
      <w:r>
        <w:rPr>
          <w:rFonts w:eastAsia="Times New Roman" w:cs="Times New Roman" w:ascii="Times New Roman" w:hAnsi="Times New Roman"/>
          <w:b w:val="false"/>
          <w:bCs w:val="false"/>
          <w:i w:val="false"/>
          <w:iCs w:val="false"/>
          <w:color w:val="000000"/>
          <w:sz w:val="22"/>
          <w:szCs w:val="22"/>
          <w:lang w:val="pt-BR" w:eastAsia="pt-BR" w:bidi="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10.3. </w:t>
      </w:r>
      <w:r>
        <w:rPr>
          <w:rFonts w:eastAsia="Times New Roman" w:cs="Times New Roman" w:ascii="Times New Roman" w:hAnsi="Times New Roman"/>
          <w:b w:val="false"/>
          <w:bCs w:val="false"/>
          <w:i w:val="false"/>
          <w:iCs w:val="false"/>
          <w:color w:val="000000"/>
          <w:sz w:val="22"/>
          <w:szCs w:val="22"/>
          <w:lang w:val="pt-BR" w:eastAsia="pt-BR" w:bidi="ar-SA"/>
        </w:rPr>
        <w:t>Também ficam sujeitas às penalidades do art. 87, III e IV da Lei nº 8.666, de 1993, as empresas e os profissionais que:</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10.3.1 </w:t>
      </w:r>
      <w:r>
        <w:rPr>
          <w:rFonts w:eastAsia="Times New Roman" w:cs="Times New Roman" w:ascii="Times New Roman" w:hAnsi="Times New Roman"/>
          <w:b w:val="false"/>
          <w:bCs w:val="false"/>
          <w:i w:val="false"/>
          <w:iCs w:val="false"/>
          <w:color w:val="000000"/>
          <w:sz w:val="22"/>
          <w:szCs w:val="22"/>
          <w:lang w:val="pt-BR" w:eastAsia="pt-BR" w:bidi="ar-SA"/>
        </w:rPr>
        <w:t>tenham sofrido condenação definitiva por praticar, por meio dolosos, fraude fiscal no recolhimento de quaisquer tributos;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10.3.2 </w:t>
      </w:r>
      <w:r>
        <w:rPr>
          <w:rFonts w:eastAsia="Times New Roman" w:cs="Times New Roman" w:ascii="Times New Roman" w:hAnsi="Times New Roman"/>
          <w:b w:val="false"/>
          <w:bCs w:val="false"/>
          <w:i w:val="false"/>
          <w:iCs w:val="false"/>
          <w:color w:val="000000"/>
          <w:sz w:val="22"/>
          <w:szCs w:val="22"/>
          <w:lang w:val="pt-BR" w:eastAsia="pt-BR" w:bidi="ar-SA"/>
        </w:rPr>
        <w:t>tenham praticado atos ilícitos visando a frustrar os objetivos da licitação;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10.3.3 </w:t>
      </w:r>
      <w:r>
        <w:rPr>
          <w:rFonts w:eastAsia="Times New Roman" w:cs="Times New Roman" w:ascii="Times New Roman" w:hAnsi="Times New Roman"/>
          <w:b w:val="false"/>
          <w:bCs w:val="false"/>
          <w:i w:val="false"/>
          <w:iCs w:val="false"/>
          <w:color w:val="000000"/>
          <w:sz w:val="22"/>
          <w:szCs w:val="22"/>
          <w:lang w:val="pt-BR" w:eastAsia="pt-BR" w:bidi="ar-SA"/>
        </w:rPr>
        <w:t>demonstrem não possuir idoneidade para contratar com a Administração em virtude de atos ilícitos praticados.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10.3.4. </w:t>
      </w:r>
      <w:r>
        <w:rPr>
          <w:rFonts w:eastAsia="Times New Roman" w:cs="Times New Roman" w:ascii="Times New Roman" w:hAnsi="Times New Roman"/>
          <w:b w:val="false"/>
          <w:bCs w:val="false"/>
          <w:i w:val="false"/>
          <w:iCs w:val="false"/>
          <w:color w:val="000000"/>
          <w:sz w:val="22"/>
          <w:szCs w:val="22"/>
          <w:lang w:val="pt-BR" w:eastAsia="pt-BR" w:bidi="ar-SA"/>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10.3.5. </w:t>
      </w:r>
      <w:r>
        <w:rPr>
          <w:rFonts w:eastAsia="Times New Roman" w:cs="Times New Roman" w:ascii="Times New Roman" w:hAnsi="Times New Roman"/>
          <w:b w:val="false"/>
          <w:bCs w:val="false"/>
          <w:i w:val="false"/>
          <w:iCs w:val="false"/>
          <w:color w:val="000000"/>
          <w:sz w:val="22"/>
          <w:szCs w:val="22"/>
          <w:lang w:val="pt-BR" w:eastAsia="pt-BR" w:bidi="ar-SA"/>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10.4. </w:t>
      </w:r>
      <w:r>
        <w:rPr>
          <w:rFonts w:eastAsia="Times New Roman" w:cs="Times New Roman" w:ascii="Times New Roman" w:hAnsi="Times New Roman"/>
          <w:b w:val="false"/>
          <w:bCs w:val="false"/>
          <w:i w:val="false"/>
          <w:iCs w:val="false"/>
          <w:color w:val="000000"/>
          <w:sz w:val="22"/>
          <w:szCs w:val="22"/>
          <w:lang w:val="pt-BR" w:eastAsia="pt-BR" w:bidi="ar-SA"/>
        </w:rPr>
        <w:t>As penalidades serão obrigatoriamente registradas no SICAF.</w:t>
      </w:r>
    </w:p>
    <w:p>
      <w:pPr>
        <w:pStyle w:val="Normal"/>
        <w:numPr>
          <w:ilvl w:val="0"/>
          <w:numId w:val="0"/>
        </w:numPr>
        <w:spacing w:lineRule="auto" w:line="276" w:before="120" w:after="120"/>
        <w:ind w:left="1141" w:hanging="0"/>
        <w:jc w:val="both"/>
        <w:rPr>
          <w:highlight w:val="yellow"/>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before="0" w:after="360"/>
        <w:ind w:left="0" w:right="0" w:hanging="0"/>
        <w:jc w:val="right"/>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before="0" w:after="360"/>
        <w:ind w:left="0" w:right="0" w:hanging="0"/>
        <w:jc w:val="right"/>
        <w:rPr>
          <w:rFonts w:ascii="Arial" w:hAnsi="Arial" w:eastAsia="Times New Roman" w:cs="Arial"/>
          <w:color w:val="00000A"/>
          <w:sz w:val="20"/>
          <w:szCs w:val="20"/>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Petrolina-PE, 11 de janeiro de 2019. </w:t>
      </w:r>
    </w:p>
    <w:p>
      <w:pPr>
        <w:pStyle w:val="Normal"/>
        <w:spacing w:before="0" w:after="75"/>
        <w:ind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before="0" w:after="75"/>
        <w:ind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________________________________</w:t>
      </w:r>
    </w:p>
    <w:p>
      <w:pPr>
        <w:pStyle w:val="Normal"/>
        <w:spacing w:before="0" w:after="75"/>
        <w:ind w:left="360"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highlight w:val="yellow"/>
          <w:lang w:val="pt-BR" w:eastAsia="pt-BR" w:bidi="ar-SA"/>
        </w:rPr>
        <w:t xml:space="preserve">Identificação e assinatura do servidor (ou equipe) responsável </w:t>
      </w:r>
    </w:p>
    <w:p>
      <w:pPr>
        <w:pStyle w:val="Normal"/>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Corpodetexto"/>
        <w:spacing w:before="0" w:after="120"/>
        <w:rPr>
          <w:highlight w:val="white"/>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Corpodetexto"/>
        <w:spacing w:before="0" w:after="120"/>
        <w:rPr>
          <w:highlight w:val="white"/>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Corpodetexto"/>
        <w:spacing w:before="0" w:after="120"/>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highlight w:val="white"/>
          <w:lang w:val="pt-BR" w:eastAsia="pt-BR" w:bidi="ar-SA"/>
        </w:rPr>
        <w:t>APROVO:</w:t>
      </w:r>
    </w:p>
    <w:p>
      <w:pPr>
        <w:pStyle w:val="Corpodetexto"/>
        <w:spacing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highlight w:val="white"/>
          <w:lang w:val="pt-BR" w:eastAsia="pt-BR" w:bidi="ar-SA"/>
        </w:rPr>
        <w:t> </w:t>
      </w:r>
    </w:p>
    <w:p>
      <w:pPr>
        <w:pStyle w:val="Corpodetexto"/>
        <w:spacing w:lineRule="auto" w:line="240" w:before="57" w:after="57"/>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O presente Termo de Referência de acordo com o inciso II do Artigo 9º do Decreto nº 5.450/2005, cuja finalidade é subsidiar os licitantes de todas as informações necessárias à participação no certame de Pregão Eletrônico para </w:t>
      </w:r>
      <w:r>
        <w:rPr>
          <w:rFonts w:eastAsia="Times New Roman" w:cs="Times New Roman" w:ascii="Times New Roman" w:hAnsi="Times New Roman"/>
          <w:b/>
          <w:bCs/>
          <w:i w:val="false"/>
          <w:iCs w:val="false"/>
          <w:color w:val="000000"/>
          <w:sz w:val="22"/>
          <w:szCs w:val="22"/>
          <w:lang w:val="pt-BR" w:eastAsia="pt-BR" w:bidi="ar-SA"/>
        </w:rPr>
        <w:t>Aquisição de gêneros alimentícios</w:t>
      </w:r>
      <w:r>
        <w:rPr>
          <w:rFonts w:eastAsia="Times New Roman" w:cs="Times New Roman" w:ascii="Times New Roman" w:hAnsi="Times New Roman"/>
          <w:b w:val="false"/>
          <w:bCs w:val="false"/>
          <w:i w:val="false"/>
          <w:iCs w:val="false"/>
          <w:color w:val="000000"/>
          <w:sz w:val="22"/>
          <w:szCs w:val="22"/>
          <w:lang w:val="pt-BR" w:eastAsia="pt-BR" w:bidi="ar-SA"/>
        </w:rPr>
        <w:t xml:space="preserve"> a partir da data de assinatura do contrato, estando presentes os elementos necessários à identificação do objeto, seu custo e todos os critérios para participação de forma clara e concisa.</w:t>
      </w:r>
    </w:p>
    <w:p>
      <w:pPr>
        <w:pStyle w:val="Corpodetexto"/>
        <w:spacing w:lineRule="auto" w:line="240" w:before="57" w:after="57"/>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highlight w:val="white"/>
          <w:lang w:val="pt-BR" w:eastAsia="pt-BR" w:bidi="ar-SA"/>
        </w:rPr>
        <w:t> </w:t>
      </w:r>
    </w:p>
    <w:p>
      <w:pPr>
        <w:pStyle w:val="Corpodetexto"/>
        <w:spacing w:lineRule="auto" w:line="240" w:before="57" w:after="57"/>
        <w:jc w:val="center"/>
        <w:rPr>
          <w:rFonts w:ascii="Times New Roman" w:hAnsi="Times New Roman" w:eastAsia="Times New Roman" w:cs="Times New Roman"/>
          <w:b w:val="false"/>
          <w:b w:val="false"/>
          <w:bCs w:val="false"/>
          <w:i w:val="false"/>
          <w:i w:val="false"/>
          <w:iCs w:val="false"/>
          <w:color w:val="000000"/>
          <w:sz w:val="22"/>
          <w:szCs w:val="22"/>
          <w:highlight w:val="white"/>
          <w:lang w:val="pt-BR" w:eastAsia="pt-BR" w:bidi="ar-SA"/>
        </w:rPr>
      </w:pPr>
      <w:r>
        <w:rPr>
          <w:rFonts w:eastAsia="Times New Roman" w:cs="Times New Roman" w:ascii="Times New Roman" w:hAnsi="Times New Roman"/>
          <w:b w:val="false"/>
          <w:bCs w:val="false"/>
          <w:i w:val="false"/>
          <w:iCs w:val="false"/>
          <w:color w:val="000000"/>
          <w:sz w:val="22"/>
          <w:szCs w:val="22"/>
          <w:highlight w:val="white"/>
          <w:lang w:val="pt-BR" w:eastAsia="pt-BR" w:bidi="ar-SA"/>
        </w:rPr>
      </w:r>
    </w:p>
    <w:p>
      <w:pPr>
        <w:pStyle w:val="Normal"/>
        <w:spacing w:lineRule="auto" w:line="240" w:before="0" w:after="360"/>
        <w:ind w:left="0" w:right="0" w:hanging="0"/>
        <w:jc w:val="right"/>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highlight w:val="yellow"/>
          <w:lang w:val="pt-BR" w:eastAsia="pt-BR" w:bidi="ar-SA"/>
        </w:rPr>
        <w:t xml:space="preserve">Petrolina-PE, .......... de Janeiro de 2019. </w:t>
      </w:r>
    </w:p>
    <w:p>
      <w:pPr>
        <w:pStyle w:val="Normal"/>
        <w:spacing w:lineRule="auto" w:line="240" w:before="0" w:after="360"/>
        <w:ind w:left="0" w:right="0" w:hanging="0"/>
        <w:jc w:val="right"/>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Corpodetexto"/>
        <w:spacing w:lineRule="auto" w:line="240" w:before="0" w:after="0"/>
        <w:jc w:val="center"/>
        <w:rPr>
          <w:rFonts w:ascii="Arial;sans-serif" w:hAnsi="Arial;sans-serif" w:eastAsia="Segoe UI" w:cs="Arial;sans-serif"/>
          <w:color w:val="00000A"/>
          <w:sz w:val="20"/>
          <w:szCs w:val="22"/>
          <w:lang w:val="pt-BR" w:eastAsia="pt-BR" w:bidi="ar-SA"/>
        </w:rPr>
      </w:pPr>
      <w:r>
        <w:rPr>
          <w:rFonts w:eastAsia="Times New Roman" w:cs="Times New Roman" w:ascii="Times New Roman" w:hAnsi="Times New Roman"/>
          <w:b w:val="false"/>
          <w:bCs w:val="false"/>
          <w:i w:val="false"/>
          <w:iCs w:val="false"/>
          <w:color w:val="000000"/>
          <w:sz w:val="22"/>
          <w:szCs w:val="22"/>
          <w:highlight w:val="white"/>
          <w:u w:val="none"/>
          <w:lang w:val="pt-BR" w:eastAsia="pt-BR" w:bidi="ar-SA"/>
        </w:rPr>
        <w:t> </w:t>
      </w:r>
      <w:r>
        <w:rPr>
          <w:rFonts w:eastAsia="Times New Roman" w:cs="Times New Roman" w:ascii="Times New Roman" w:hAnsi="Times New Roman"/>
          <w:b w:val="false"/>
          <w:bCs w:val="false"/>
          <w:i w:val="false"/>
          <w:iCs w:val="false"/>
          <w:color w:val="000000"/>
          <w:sz w:val="22"/>
          <w:szCs w:val="22"/>
          <w:highlight w:val="white"/>
          <w:u w:val="none"/>
          <w:lang w:val="pt-BR" w:eastAsia="pt-BR" w:bidi="ar-SA"/>
        </w:rPr>
        <w:t>Jean Carlos Coelho Alencar</w:t>
      </w:r>
    </w:p>
    <w:p>
      <w:pPr>
        <w:pStyle w:val="Corpodetexto"/>
        <w:spacing w:lineRule="auto" w:line="240" w:before="0" w:after="0"/>
        <w:jc w:val="center"/>
        <w:rPr>
          <w:rFonts w:ascii="Arial;sans-serif" w:hAnsi="Arial;sans-serif" w:eastAsia="Segoe UI" w:cs="Arial;sans-serif"/>
          <w:color w:val="00000A"/>
          <w:sz w:val="20"/>
          <w:szCs w:val="22"/>
          <w:lang w:val="pt-BR" w:eastAsia="pt-BR" w:bidi="ar-SA"/>
        </w:rPr>
      </w:pPr>
      <w:r>
        <w:rPr>
          <w:rFonts w:eastAsia="Times New Roman" w:cs="Times New Roman" w:ascii="Times New Roman" w:hAnsi="Times New Roman"/>
          <w:b w:val="false"/>
          <w:bCs w:val="false"/>
          <w:i w:val="false"/>
          <w:iCs w:val="false"/>
          <w:color w:val="000000"/>
          <w:sz w:val="22"/>
          <w:szCs w:val="22"/>
          <w:highlight w:val="white"/>
          <w:u w:val="none"/>
          <w:lang w:val="pt-BR" w:eastAsia="pt-BR" w:bidi="ar-SA"/>
        </w:rPr>
        <w:t xml:space="preserve">Reitor em Exercício </w:t>
      </w:r>
      <w:r>
        <w:rPr>
          <w:rFonts w:eastAsia="Times New Roman" w:cs="Times New Roman" w:ascii="Times New Roman" w:hAnsi="Times New Roman"/>
          <w:b w:val="false"/>
          <w:bCs w:val="false"/>
          <w:i w:val="false"/>
          <w:iCs w:val="false"/>
          <w:color w:val="000000"/>
          <w:sz w:val="22"/>
          <w:szCs w:val="22"/>
          <w:u w:val="none"/>
          <w:lang w:val="pt-BR" w:eastAsia="pt-BR" w:bidi="ar-SA"/>
        </w:rPr>
        <w:br/>
      </w:r>
      <w:r>
        <w:rPr>
          <w:rFonts w:eastAsia="Times New Roman" w:cs="Times New Roman" w:ascii="Times New Roman" w:hAnsi="Times New Roman"/>
          <w:b w:val="false"/>
          <w:bCs w:val="false"/>
          <w:i w:val="false"/>
          <w:iCs w:val="false"/>
          <w:color w:val="000000"/>
          <w:sz w:val="22"/>
          <w:szCs w:val="22"/>
          <w:highlight w:val="white"/>
          <w:u w:val="none"/>
          <w:lang w:val="pt-BR" w:eastAsia="pt-BR" w:bidi="ar-SA"/>
        </w:rPr>
        <w:t>IFSERTÃOPE</w:t>
      </w:r>
    </w:p>
    <w:p>
      <w:pPr>
        <w:pStyle w:val="Normal"/>
        <w:spacing w:lineRule="auto" w:line="24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lineRule="auto" w:line="24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lineRule="auto" w:line="24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lineRule="auto" w:line="24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ANEXO II</w:t>
      </w:r>
    </w:p>
    <w:p>
      <w:pPr>
        <w:pStyle w:val="Normal"/>
        <w:spacing w:lineRule="auto" w:line="24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lineRule="auto" w:line="240" w:before="0" w:after="0"/>
        <w:jc w:val="center"/>
        <w:rPr>
          <w:rFonts w:ascii="Arial" w:hAnsi="Arial" w:cs="Arial"/>
          <w:b/>
          <w:b/>
          <w:bCs/>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MINUTA DA ATA DE REGISTRO DE PREÇO N.º .........</w:t>
      </w:r>
    </w:p>
    <w:p>
      <w:pPr>
        <w:pStyle w:val="Normal"/>
        <w:widowControl w:val="false"/>
        <w:tabs>
          <w:tab w:val="center" w:pos="4779" w:leader="none"/>
          <w:tab w:val="right" w:pos="9198" w:leader="none"/>
        </w:tabs>
        <w:spacing w:lineRule="auto" w:line="240" w:before="0" w:after="0"/>
        <w:ind w:left="0" w:right="0" w:hanging="0"/>
        <w:jc w:val="center"/>
        <w:rPr>
          <w:rFonts w:ascii="Arial" w:hAnsi="Arial" w:cs="Arial"/>
          <w:b/>
          <w:b/>
          <w:bCs/>
          <w:i/>
          <w:i/>
          <w:color w:val="000000"/>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INSTITUTO FEDERAL  DO SERTÃO PERNAMBUCANO – IF SERTÃO/PE</w:t>
      </w:r>
    </w:p>
    <w:p>
      <w:pPr>
        <w:pStyle w:val="Normal"/>
        <w:widowControl w:val="false"/>
        <w:spacing w:lineRule="auto" w:line="240" w:before="0" w:after="0"/>
        <w:ind w:left="0"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PREGÃO ELETRÔNICO SRP </w:t>
      </w:r>
      <w:r>
        <w:rPr>
          <w:rFonts w:eastAsia="Times New Roman" w:cs="Times New Roman" w:ascii="Times New Roman" w:hAnsi="Times New Roman"/>
          <w:b w:val="false"/>
          <w:bCs w:val="false"/>
          <w:i w:val="false"/>
          <w:iCs w:val="false"/>
          <w:color w:val="000000"/>
          <w:sz w:val="22"/>
          <w:szCs w:val="22"/>
          <w:highlight w:val="yellow"/>
          <w:lang w:val="pt-BR" w:eastAsia="pt-BR" w:bidi="ar-SA"/>
        </w:rPr>
        <w:t>Nº 01/2019</w:t>
      </w:r>
    </w:p>
    <w:p>
      <w:pPr>
        <w:pStyle w:val="Normal"/>
        <w:widowControl w:val="false"/>
        <w:ind w:left="0" w:right="0" w:hanging="0"/>
        <w:jc w:val="center"/>
        <w:rPr>
          <w:rFonts w:ascii="Arial" w:hAnsi="Arial" w:cs="Arial"/>
          <w:bCs/>
          <w:sz w:val="20"/>
          <w:szCs w:val="20"/>
        </w:rPr>
      </w:pPr>
      <w:bookmarkStart w:id="14" w:name="__DdeLink__367633_1498504072"/>
      <w:bookmarkEnd w:id="14"/>
      <w:r>
        <w:rPr>
          <w:rFonts w:eastAsia="Times New Roman" w:cs="Times New Roman" w:ascii="Times New Roman" w:hAnsi="Times New Roman"/>
          <w:b w:val="false"/>
          <w:bCs w:val="false"/>
          <w:i w:val="false"/>
          <w:iCs w:val="false"/>
          <w:color w:val="000000"/>
          <w:sz w:val="22"/>
          <w:szCs w:val="22"/>
          <w:lang w:val="pt-BR" w:eastAsia="pt-BR" w:bidi="ar-SA"/>
        </w:rPr>
        <w:t>N.º .........</w:t>
      </w:r>
    </w:p>
    <w:p>
      <w:pPr>
        <w:pStyle w:val="Normal"/>
        <w:widowControl w:val="false"/>
        <w:ind w:left="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widowControl w:val="false"/>
        <w:tabs>
          <w:tab w:val="center" w:pos="4779" w:leader="none"/>
          <w:tab w:val="right" w:pos="9198" w:leader="none"/>
        </w:tabs>
        <w:ind w:left="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O INSTITUTO FEDERAL DE EDUCAÇÃO, CIÊNCIA E TECNOLOGIA DO SERTÃO PERNAMBUCANO – IF SERTÃO/PE, com sede no(a) ......, na cidade de ........, inscrito(a) no CNPJ/MF sob o nº ....., neste ato representado(a) pelo(a) ...... (cargo e nome), nomeado(a) pela  Portaria nº ...... de ..... de ...... de 200..., publicada no ....... de ..... de ....... de ....., inscrito(a) no CPF sob o nº .............portador(a) da Carteira de Identidade nº ......., considerando o julgamento da licitação na modalidade de pregão, na forma eletrônica, para REGISTRO DE PREÇOS nº ......./200..., publicada no ...... de ...../...../200....., Processo Administrativo n.º </w:t>
      </w:r>
      <w:r>
        <w:rPr>
          <w:rFonts w:eastAsia="Times New Roman" w:cs="Times New Roman" w:ascii="Times New Roman" w:hAnsi="Times New Roman"/>
          <w:b w:val="false"/>
          <w:bCs w:val="false"/>
          <w:i w:val="false"/>
          <w:iCs w:val="false"/>
          <w:color w:val="000000"/>
          <w:sz w:val="22"/>
          <w:szCs w:val="22"/>
          <w:highlight w:val="yellow"/>
          <w:lang w:val="pt-BR" w:eastAsia="pt-BR" w:bidi="ar-SA"/>
        </w:rPr>
        <w:t xml:space="preserve"> 23600.000001.2019-17, </w:t>
      </w:r>
      <w:r>
        <w:rPr>
          <w:rFonts w:eastAsia="Times New Roman" w:cs="Times New Roman" w:ascii="Times New Roman" w:hAnsi="Times New Roman"/>
          <w:b w:val="false"/>
          <w:bCs w:val="false"/>
          <w:i w:val="false"/>
          <w:iCs w:val="false"/>
          <w:color w:val="000000"/>
          <w:sz w:val="22"/>
          <w:szCs w:val="22"/>
          <w:lang w:val="pt-BR" w:eastAsia="pt-BR" w:bidi="ar-SA"/>
        </w:rPr>
        <w:t>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widowControl w:val="false"/>
        <w:tabs>
          <w:tab w:val="center" w:pos="4779" w:leader="none"/>
          <w:tab w:val="right" w:pos="9198" w:leader="none"/>
        </w:tabs>
        <w:ind w:left="0" w:right="-28"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lineRule="auto" w:line="276" w:before="120" w:after="120"/>
        <w:ind w:left="360" w:right="0" w:hanging="0"/>
        <w:jc w:val="both"/>
        <w:rPr>
          <w:rFonts w:ascii="Arial" w:hAnsi="Arial" w:cs="Arial"/>
          <w:b/>
          <w:b/>
          <w:bCs/>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1. DO OBJETO</w:t>
      </w:r>
    </w:p>
    <w:p>
      <w:pPr>
        <w:pStyle w:val="Normal"/>
        <w:spacing w:lineRule="auto" w:line="276" w:before="120" w:after="120"/>
        <w:ind w:left="36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1.1. A presente Ata tem por objeto o registro de preços para a eventual </w:t>
      </w:r>
      <w:r>
        <w:rPr>
          <w:rStyle w:val="Fontepargpadro"/>
          <w:rFonts w:eastAsia="Times New Roman" w:cs="Times New Roman" w:ascii="Times New Roman" w:hAnsi="Times New Roman"/>
          <w:b w:val="false"/>
          <w:bCs w:val="false"/>
          <w:i w:val="false"/>
          <w:iCs w:val="false"/>
          <w:color w:val="000000"/>
          <w:sz w:val="22"/>
          <w:szCs w:val="22"/>
          <w:lang w:val="pt-BR" w:eastAsia="pt-BR" w:bidi="ar-SA"/>
        </w:rPr>
        <w:t xml:space="preserve">Aquisição de Gêneros Alimentícios para os campi e Reitoria do IF Sertão PE, </w:t>
      </w:r>
      <w:r>
        <w:rPr>
          <w:rFonts w:eastAsia="Times New Roman" w:cs="Times New Roman" w:ascii="Times New Roman" w:hAnsi="Times New Roman"/>
          <w:b w:val="false"/>
          <w:bCs w:val="false"/>
          <w:i w:val="false"/>
          <w:iCs w:val="false"/>
          <w:color w:val="000000"/>
          <w:sz w:val="22"/>
          <w:szCs w:val="22"/>
          <w:lang w:val="pt-BR" w:eastAsia="pt-BR" w:bidi="ar-SA"/>
        </w:rPr>
        <w:t>conforme condições, quantidades e exigências estabelecidas neste Edital e seus anexos, especificado(s) nos itens do Termo de Referência, anexo I do edital de Pregão Eletrônico nº</w:t>
      </w:r>
      <w:r>
        <w:rPr>
          <w:rFonts w:eastAsia="Times New Roman" w:cs="Times New Roman" w:ascii="Times New Roman" w:hAnsi="Times New Roman"/>
          <w:b w:val="false"/>
          <w:bCs w:val="false"/>
          <w:i w:val="false"/>
          <w:iCs w:val="false"/>
          <w:color w:val="000000"/>
          <w:sz w:val="22"/>
          <w:szCs w:val="22"/>
          <w:highlight w:val="yellow"/>
          <w:lang w:val="pt-BR" w:eastAsia="pt-BR" w:bidi="ar-SA"/>
        </w:rPr>
        <w:t xml:space="preserve"> 01/2019</w:t>
      </w:r>
      <w:r>
        <w:rPr>
          <w:rFonts w:eastAsia="Times New Roman" w:cs="Times New Roman" w:ascii="Times New Roman" w:hAnsi="Times New Roman"/>
          <w:b w:val="false"/>
          <w:bCs w:val="false"/>
          <w:i w:val="false"/>
          <w:iCs w:val="false"/>
          <w:color w:val="000000"/>
          <w:sz w:val="22"/>
          <w:szCs w:val="22"/>
          <w:lang w:val="pt-BR" w:eastAsia="pt-BR" w:bidi="ar-SA"/>
        </w:rPr>
        <w:t xml:space="preserve"> que é parte integrante desta Ata, assim como a proposta vencedora, independentemente de transcrição.</w:t>
      </w:r>
    </w:p>
    <w:p>
      <w:pPr>
        <w:pStyle w:val="Normal"/>
        <w:widowControl w:val="false"/>
        <w:ind w:left="792"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lineRule="auto" w:line="276" w:before="120" w:after="120"/>
        <w:ind w:left="360" w:right="0" w:hanging="0"/>
        <w:jc w:val="both"/>
        <w:rPr>
          <w:rFonts w:ascii="Arial" w:hAnsi="Arial" w:cs="Arial"/>
          <w:b/>
          <w:b/>
          <w:bCs/>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2. DOS PREÇOS, ESPECIFICAÇÕES E QUANTITATIVOS</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 xml:space="preserve">2.1. O preço registrado, as especificações do objeto, a quantidade, fornecedor(es) e as demais condições ofertadas na(s) proposta(s) são as que seguem: </w:t>
      </w:r>
    </w:p>
    <w:tbl>
      <w:tblPr>
        <w:tblW w:w="8551" w:type="dxa"/>
        <w:jc w:val="left"/>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2" w:type="dxa"/>
          <w:bottom w:w="0" w:type="dxa"/>
          <w:right w:w="10" w:type="dxa"/>
        </w:tblCellMar>
      </w:tblPr>
      <w:tblGrid>
        <w:gridCol w:w="495"/>
        <w:gridCol w:w="1185"/>
        <w:gridCol w:w="1402"/>
        <w:gridCol w:w="1541"/>
        <w:gridCol w:w="1121"/>
        <w:gridCol w:w="1121"/>
        <w:gridCol w:w="841"/>
        <w:gridCol w:w="844"/>
      </w:tblGrid>
      <w:tr>
        <w:trPr>
          <w:trHeight w:val="511"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widowControl w:val="false"/>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Item</w:t>
            </w:r>
          </w:p>
          <w:p>
            <w:pPr>
              <w:pStyle w:val="Normal"/>
              <w:widowControl w:val="false"/>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do</w:t>
            </w:r>
          </w:p>
          <w:p>
            <w:pPr>
              <w:pStyle w:val="Normal"/>
              <w:widowControl w:val="false"/>
              <w:spacing w:before="0" w:after="200"/>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TR</w:t>
            </w:r>
          </w:p>
        </w:tc>
        <w:tc>
          <w:tcPr>
            <w:tcW w:w="8055"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widowControl w:val="false"/>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Fornecedor (razão social, CNPJ/MF, endereço, contatos, representante)</w:t>
            </w:r>
          </w:p>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674"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widowControl w:val="false"/>
              <w:spacing w:before="0" w:after="200"/>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X</w:t>
            </w:r>
          </w:p>
        </w:tc>
        <w:tc>
          <w:tcPr>
            <w:tcW w:w="11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Especificação</w:t>
            </w:r>
          </w:p>
        </w:tc>
        <w:tc>
          <w:tcPr>
            <w:tcW w:w="1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ind w:left="0" w:right="-30" w:hanging="0"/>
              <w:jc w:val="center"/>
              <w:rPr>
                <w:rFonts w:ascii="Arial" w:hAnsi="Arial" w:cs="Arial"/>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 xml:space="preserve">Marca </w:t>
            </w:r>
          </w:p>
          <w:p>
            <w:pPr>
              <w:pStyle w:val="Normal"/>
              <w:widowControl w:val="false"/>
              <w:spacing w:before="0" w:after="200"/>
              <w:ind w:left="0" w:right="-30" w:hanging="0"/>
              <w:jc w:val="center"/>
              <w:rPr>
                <w:rFonts w:ascii="Arial" w:hAnsi="Arial" w:cs="Arial"/>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exigida no edital)</w:t>
            </w:r>
          </w:p>
        </w:tc>
        <w:tc>
          <w:tcPr>
            <w:tcW w:w="1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ind w:left="0" w:right="-30" w:hanging="0"/>
              <w:jc w:val="center"/>
              <w:rPr>
                <w:rFonts w:ascii="Arial" w:hAnsi="Arial" w:cs="Arial"/>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Modelo</w:t>
            </w:r>
          </w:p>
          <w:p>
            <w:pPr>
              <w:pStyle w:val="Normal"/>
              <w:widowControl w:val="false"/>
              <w:spacing w:before="0" w:after="200"/>
              <w:ind w:left="0" w:right="-30" w:hanging="0"/>
              <w:jc w:val="center"/>
              <w:rPr>
                <w:rFonts w:ascii="Arial" w:hAnsi="Arial" w:cs="Arial"/>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exigido no edital)</w:t>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Unidade</w:t>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Quantidade</w:t>
            </w:r>
          </w:p>
        </w:tc>
        <w:tc>
          <w:tcPr>
            <w:tcW w:w="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Valor Un</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center"/>
              <w:rPr>
                <w:rFonts w:ascii="Arial" w:hAnsi="Arial" w:cs="Arial"/>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Prazo garantia ou validade</w:t>
            </w:r>
          </w:p>
        </w:tc>
      </w:tr>
      <w:tr>
        <w:trPr>
          <w:trHeight w:val="174"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bl>
    <w:p>
      <w:pPr>
        <w:pStyle w:val="Normal"/>
        <w:widowControl w:val="false"/>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widowControl w:val="false"/>
        <w:spacing w:before="240" w:after="0"/>
        <w:ind w:left="360" w:right="0" w:hanging="0"/>
        <w:jc w:val="both"/>
        <w:rPr>
          <w:rFonts w:ascii="Arial" w:hAnsi="Arial" w:cs="Arial"/>
          <w:b/>
          <w:b/>
          <w:bCs/>
          <w:i/>
          <w:i/>
          <w:iCs/>
          <w:color w:val="000000"/>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3. ÓRGÃO(S) PARTICIPANTE(S)</w:t>
      </w:r>
    </w:p>
    <w:p>
      <w:pPr>
        <w:pStyle w:val="Normal"/>
        <w:spacing w:lineRule="auto" w:line="276" w:before="120" w:after="120"/>
        <w:ind w:left="785" w:right="0" w:hanging="0"/>
        <w:jc w:val="both"/>
        <w:rPr>
          <w:rFonts w:ascii="Arial" w:hAnsi="Arial" w:cs="Arial"/>
          <w:i/>
          <w:i/>
          <w:iCs/>
          <w:color w:val="000000"/>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3.1. São órgãos e entidades públicas participantes do registro de preços:</w:t>
      </w:r>
    </w:p>
    <w:p>
      <w:pPr>
        <w:pStyle w:val="Normal"/>
        <w:widowControl w:val="false"/>
        <w:tabs>
          <w:tab w:val="left" w:pos="2093" w:leader="none"/>
        </w:tabs>
        <w:spacing w:before="240" w:after="0"/>
        <w:ind w:left="792" w:right="-30" w:hanging="0"/>
        <w:jc w:val="both"/>
        <w:rPr>
          <w:rFonts w:ascii="Arial" w:hAnsi="Arial" w:cs="Arial"/>
          <w:i/>
          <w:i/>
          <w:iCs/>
          <w:color w:val="000000"/>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ab/>
      </w:r>
    </w:p>
    <w:tbl>
      <w:tblPr>
        <w:tblW w:w="8978" w:type="dxa"/>
        <w:jc w:val="left"/>
        <w:tblInd w:w="-1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Pr>
      <w:tblGrid>
        <w:gridCol w:w="2244"/>
        <w:gridCol w:w="2245"/>
        <w:gridCol w:w="2248"/>
        <w:gridCol w:w="2240"/>
      </w:tblGrid>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Arial" w:hAnsi="Arial" w:cs="Arial"/>
                <w:i/>
                <w:i/>
                <w:iCs/>
                <w:color w:val="000000"/>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 xml:space="preserve">Item nº </w:t>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Arial" w:hAnsi="Arial" w:cs="Arial"/>
                <w:i/>
                <w:i/>
                <w:iCs/>
                <w:color w:val="000000"/>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Órgãos Participantes</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Arial" w:hAnsi="Arial" w:cs="Arial"/>
                <w:i/>
                <w:i/>
                <w:iCs/>
                <w:color w:val="000000"/>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Unidade</w:t>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Arial" w:hAnsi="Arial" w:cs="Arial"/>
                <w:i/>
                <w:i/>
                <w:iCs/>
                <w:color w:val="000000"/>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Quantidade</w:t>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bl>
    <w:p>
      <w:pPr>
        <w:pStyle w:val="Normal"/>
        <w:widowControl w:val="false"/>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widowControl w:val="false"/>
        <w:spacing w:before="240" w:after="0"/>
        <w:ind w:left="36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4. VALIDADE DA ATA </w:t>
      </w:r>
    </w:p>
    <w:p>
      <w:pPr>
        <w:pStyle w:val="Normal"/>
        <w:spacing w:lineRule="auto" w:line="276" w:before="120" w:after="120"/>
        <w:ind w:left="785"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4.1. A validade da Ata de Registro de Preços será de 12 meses, a partir do(a)................................, não podendo ser prorrogada.</w:t>
      </w:r>
    </w:p>
    <w:p>
      <w:pPr>
        <w:pStyle w:val="Normal"/>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widowControl w:val="false"/>
        <w:spacing w:before="240" w:after="0"/>
        <w:ind w:left="36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5. REVISÃO E CANCELAMENTO </w:t>
      </w:r>
    </w:p>
    <w:p>
      <w:pPr>
        <w:pStyle w:val="ListParagraph"/>
        <w:spacing w:lineRule="auto" w:line="276" w:before="120" w:after="120"/>
        <w:ind w:left="785" w:right="0" w:hanging="0"/>
        <w:contextualSpacing/>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5.1. A Administração realizará pesquisa de mercado periodicamente, em intervalos não superiores a 180 (cento e oitenta) dias, a fim de verificar a vantajosidade dos preços registrados nesta Ata.</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5.2. Os preços registrados poderão ser revistos em decorrência de eventual redução dos preços praticados no mercado ou de fato que eleve o custo do objeto registrado, cabendo à Administração promover as negociações junto ao(s) fornecedor(es).</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5.2. Quando o preço registrado tornar-se superior ao preço praticado no mercado por motivo superveniente, a Administração convocará o(s) fornecedor(es) para negociar(em) a redução dos preços aos valores praticados pelo mercado.</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5.3. O fornecedor que não aceitar reduzir seu preço ao valor praticado pelo mercado será liberado do compromisso assumido, sem aplicação de penalidade.</w:t>
      </w:r>
    </w:p>
    <w:p>
      <w:pPr>
        <w:pStyle w:val="Normal"/>
        <w:spacing w:lineRule="auto" w:line="276" w:before="120" w:after="120"/>
        <w:ind w:left="1854"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5.4. A ordem de classificação dos fornecedores que aceitarem reduzir seus preços aos valores de mercado observará a classificação original.</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5.5. Quando o preço de mercado tornar-se superior aos preços registrados e o fornecedor não puder cumprir o compromisso, o órgão gerenciador poderá:</w:t>
      </w:r>
    </w:p>
    <w:p>
      <w:pPr>
        <w:pStyle w:val="Normal"/>
        <w:spacing w:lineRule="auto" w:line="276" w:before="120" w:after="120"/>
        <w:ind w:left="1854"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5.6. liberar o fornecedor do compromisso assumido, caso a comunicação ocorra antes do pedido de fornecimento, e sem aplicação da penalidade se confirmada a veracidade dos motivos e comprovantes apresentados; e</w:t>
      </w:r>
    </w:p>
    <w:p>
      <w:pPr>
        <w:pStyle w:val="Normal"/>
        <w:spacing w:lineRule="auto" w:line="276" w:before="120" w:after="120"/>
        <w:ind w:left="1854"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5.7. convocar os demais fornecedores para assegurar igual oportunidade de negociação.</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5.8. Não havendo êxito nas negociações, o órgão gerenciador deverá proceder à revogação desta ata de registro de preços, adotando as medidas cabíveis para obtenção da contratação mais vantajosa.</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5.9. O registro do fornecedor será cancelado quando:</w:t>
      </w:r>
    </w:p>
    <w:p>
      <w:pPr>
        <w:pStyle w:val="Normal"/>
        <w:spacing w:lineRule="auto" w:line="276" w:before="120" w:after="120"/>
        <w:ind w:left="1854"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5.9.1. descumprir as condições da ata de registro de preços;</w:t>
      </w:r>
    </w:p>
    <w:p>
      <w:pPr>
        <w:pStyle w:val="Normal"/>
        <w:spacing w:lineRule="auto" w:line="276" w:before="120" w:after="120"/>
        <w:ind w:left="1854"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5.9.2. não retirar a nota de empenho ou instrumento equivalente no prazo estabelecido pela Administração, sem justificativa aceitável;</w:t>
      </w:r>
    </w:p>
    <w:p>
      <w:pPr>
        <w:pStyle w:val="Normal"/>
        <w:spacing w:lineRule="auto" w:line="276" w:before="120" w:after="120"/>
        <w:ind w:left="1854"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5.9.3. não aceitar reduzir o seu preço registrado, na hipótese deste se tornar superior àqueles praticados no mercado; ou</w:t>
      </w:r>
    </w:p>
    <w:p>
      <w:pPr>
        <w:pStyle w:val="Normal"/>
        <w:spacing w:lineRule="auto" w:line="276" w:before="120" w:after="120"/>
        <w:ind w:left="1854"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5.9.4. sofrer sanção administrativa cujo efeito torne-o proibido de celebrar contrato administrativo, alcançando o órgão gerenciador e órgão(s) participante(s).</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5.10. O cancelamento de registros nas hipóteses previstas nos itens 5.7.1, 5.7.2 e 5.7.4 será formalizado por despacho do órgão gerenciador, assegurado o contraditório e a ampla defesa.</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5.11. O cancelamento do registro de preços poderá ocorrer por fato superveniente, decorrente de caso fortuito ou força maior, que prejudique o cumprimento da ata, devidamente comprovados e justificados:</w:t>
      </w:r>
    </w:p>
    <w:p>
      <w:pPr>
        <w:pStyle w:val="Normal"/>
        <w:spacing w:lineRule="auto" w:line="276" w:before="120" w:after="120"/>
        <w:ind w:left="1854"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5.11.1. por razão de interesse público; ou</w:t>
      </w:r>
    </w:p>
    <w:p>
      <w:pPr>
        <w:pStyle w:val="Normal"/>
        <w:spacing w:lineRule="auto" w:line="276" w:before="120" w:after="120"/>
        <w:ind w:left="1854"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5.11.2. a pedido do fornecedor.</w:t>
      </w:r>
    </w:p>
    <w:p>
      <w:pPr>
        <w:pStyle w:val="Normal"/>
        <w:spacing w:lineRule="auto" w:line="276" w:before="120" w:after="120"/>
        <w:ind w:left="425"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widowControl w:val="false"/>
        <w:ind w:left="360" w:right="0" w:hanging="0"/>
        <w:jc w:val="both"/>
        <w:rPr>
          <w:rFonts w:ascii="Arial" w:hAnsi="Arial" w:cs="Arial"/>
          <w:b/>
          <w:b/>
          <w:bCs/>
          <w:iCs/>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6. CONDIÇÕES GERAIS</w:t>
      </w:r>
    </w:p>
    <w:p>
      <w:pPr>
        <w:pStyle w:val="Normal"/>
        <w:spacing w:lineRule="auto" w:line="276" w:before="120" w:after="120"/>
        <w:ind w:left="785" w:right="0" w:hanging="0"/>
        <w:jc w:val="both"/>
        <w:rPr>
          <w:rFonts w:ascii="Arial" w:hAnsi="Arial" w:cs="Arial"/>
          <w:iCs/>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6.1. 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spacing w:lineRule="auto" w:line="276" w:before="120" w:after="120"/>
        <w:ind w:left="785"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6.2. É vedado efetuar acréscimos nos quantitativos fixados nesta ata de registro de preços, inclusive o acréscimo de que trata o § 1º do art. 65 da Lei nº 8.666/93.</w:t>
      </w:r>
    </w:p>
    <w:p>
      <w:pPr>
        <w:pStyle w:val="Normal"/>
        <w:spacing w:lineRule="auto" w:line="276" w:before="120" w:after="120"/>
        <w:ind w:left="785" w:right="0" w:hanging="0"/>
        <w:jc w:val="both"/>
        <w:rPr>
          <w:rFonts w:ascii="Arial" w:hAnsi="Arial" w:cs="Arial"/>
          <w:i/>
          <w:i/>
          <w:iCs/>
          <w:color w:val="000000"/>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6.3. 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pPr>
        <w:pStyle w:val="Normal"/>
        <w:widowControl w:val="false"/>
        <w:spacing w:before="240" w:after="0"/>
        <w:ind w:left="567" w:right="-15"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widowControl w:val="false"/>
        <w:ind w:left="0" w:right="-15"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Para firmeza e validade do pactuado, a presente Ata foi lavrada em 02 (duas) vias de igual teor, que, depois de lida e achada em ordem, vai assinada pelas partes e encaminhada cópia aos demais órgãos participantes (se houver). </w:t>
      </w:r>
    </w:p>
    <w:p>
      <w:pPr>
        <w:pStyle w:val="Normal"/>
        <w:widowControl w:val="false"/>
        <w:ind w:left="0" w:right="-15"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widowControl w:val="false"/>
        <w:ind w:left="0" w:right="-30" w:hanging="0"/>
        <w:jc w:val="center"/>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Local e data</w:t>
      </w:r>
    </w:p>
    <w:p>
      <w:pPr>
        <w:pStyle w:val="Normal"/>
        <w:widowControl w:val="false"/>
        <w:ind w:left="0" w:right="-30" w:hanging="0"/>
        <w:jc w:val="center"/>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Assinaturas</w:t>
      </w:r>
    </w:p>
    <w:p>
      <w:pPr>
        <w:pStyle w:val="Normal"/>
        <w:widowControl w:val="false"/>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widowControl w:val="false"/>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Representante legal do órgão gerenciador e representante(s) legal(is) do(s) fornecedor(s) registrado(s)</w:t>
      </w:r>
    </w:p>
    <w:p>
      <w:pPr>
        <w:pStyle w:val="Normal"/>
        <w:widowControl w:val="false"/>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FORNECEDORES QUE ACEITARAM COTAR OS BENS</w:t>
      </w:r>
      <w:bookmarkStart w:id="15" w:name="__DdeLink__16795_1296856160"/>
      <w:r>
        <w:rPr>
          <w:rFonts w:eastAsia="Times New Roman" w:cs="Times New Roman" w:ascii="Times New Roman" w:hAnsi="Times New Roman"/>
          <w:b w:val="false"/>
          <w:bCs w:val="false"/>
          <w:i w:val="false"/>
          <w:iCs w:val="false"/>
          <w:color w:val="000000"/>
          <w:sz w:val="22"/>
          <w:szCs w:val="22"/>
          <w:lang w:val="pt-BR" w:eastAsia="pt-BR" w:bidi="ar-SA"/>
        </w:rPr>
        <w:t xml:space="preserve"> IGUAIS</w:t>
      </w:r>
      <w:bookmarkEnd w:id="15"/>
      <w:r>
        <w:rPr>
          <w:rFonts w:eastAsia="Times New Roman" w:cs="Times New Roman" w:ascii="Times New Roman" w:hAnsi="Times New Roman"/>
          <w:b w:val="false"/>
          <w:bCs w:val="false"/>
          <w:i w:val="false"/>
          <w:iCs w:val="false"/>
          <w:color w:val="000000"/>
          <w:sz w:val="22"/>
          <w:szCs w:val="22"/>
          <w:lang w:val="pt-BR" w:eastAsia="pt-BR" w:bidi="ar-SA"/>
        </w:rPr>
        <w:t xml:space="preserve"> AOS DOS LICITANTES VENCEDORES </w:t>
      </w:r>
    </w:p>
    <w:p>
      <w:pPr>
        <w:pStyle w:val="Normal"/>
        <w:jc w:val="center"/>
        <w:rPr>
          <w:rFonts w:ascii="Times New Roman" w:hAnsi="Times New Roman" w:eastAsia="Times New Roman" w:cs="Times New Roman"/>
          <w:b w:val="false"/>
          <w:b w:val="false"/>
          <w:bCs w:val="false"/>
          <w:i w:val="false"/>
          <w:i w:val="false"/>
          <w:iCs w:val="false"/>
          <w:color w:val="000000"/>
          <w:sz w:val="22"/>
          <w:szCs w:val="22"/>
          <w:highlight w:val="yellow"/>
          <w:lang w:val="pt-BR" w:eastAsia="pt-BR" w:bidi="ar-SA"/>
        </w:rPr>
      </w:pPr>
      <w:r>
        <w:rPr>
          <w:rFonts w:eastAsia="Times New Roman" w:cs="Times New Roman" w:ascii="Times New Roman" w:hAnsi="Times New Roman"/>
          <w:b w:val="false"/>
          <w:bCs w:val="false"/>
          <w:i w:val="false"/>
          <w:iCs w:val="false"/>
          <w:color w:val="000000"/>
          <w:sz w:val="22"/>
          <w:szCs w:val="22"/>
          <w:highlight w:val="yellow"/>
          <w:lang w:val="pt-BR" w:eastAsia="pt-BR" w:bidi="ar-SA"/>
        </w:rPr>
      </w:r>
    </w:p>
    <w:tbl>
      <w:tblPr>
        <w:tblW w:w="8566" w:type="dxa"/>
        <w:jc w:val="left"/>
        <w:tblInd w:w="-106" w:type="dxa"/>
        <w:tblBorders>
          <w:top w:val="single" w:sz="2" w:space="0" w:color="000001"/>
          <w:left w:val="single" w:sz="2" w:space="0" w:color="000001"/>
          <w:bottom w:val="single" w:sz="2" w:space="0" w:color="000001"/>
          <w:insideH w:val="single" w:sz="2" w:space="0" w:color="000001"/>
        </w:tblBorders>
        <w:tblCellMar>
          <w:top w:w="0" w:type="dxa"/>
          <w:left w:w="-2" w:type="dxa"/>
          <w:bottom w:w="0" w:type="dxa"/>
          <w:right w:w="10" w:type="dxa"/>
        </w:tblCellMar>
      </w:tblPr>
      <w:tblGrid>
        <w:gridCol w:w="495"/>
        <w:gridCol w:w="1183"/>
        <w:gridCol w:w="1404"/>
        <w:gridCol w:w="1541"/>
        <w:gridCol w:w="1123"/>
        <w:gridCol w:w="1123"/>
        <w:gridCol w:w="842"/>
        <w:gridCol w:w="854"/>
      </w:tblGrid>
      <w:tr>
        <w:trPr>
          <w:trHeight w:val="511" w:hRule="atLeast"/>
        </w:trPr>
        <w:tc>
          <w:tcPr>
            <w:tcW w:w="495" w:type="dxa"/>
            <w:tcBorders>
              <w:top w:val="single" w:sz="2" w:space="0" w:color="000001"/>
              <w:left w:val="single" w:sz="2" w:space="0" w:color="000001"/>
              <w:bottom w:val="single" w:sz="2" w:space="0" w:color="000001"/>
              <w:insideH w:val="single" w:sz="2" w:space="0" w:color="000001"/>
            </w:tcBorders>
            <w:shd w:fill="FFFFFF" w:val="clear"/>
            <w:tcMar>
              <w:left w:w="-2" w:type="dxa"/>
            </w:tcMar>
            <w:vAlign w:val="center"/>
          </w:tcPr>
          <w:p>
            <w:pPr>
              <w:pStyle w:val="Normal"/>
              <w:widowControl w:val="false"/>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Item</w:t>
            </w:r>
          </w:p>
          <w:p>
            <w:pPr>
              <w:pStyle w:val="Normal"/>
              <w:widowControl w:val="false"/>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do</w:t>
            </w:r>
          </w:p>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TR</w:t>
            </w:r>
          </w:p>
        </w:tc>
        <w:tc>
          <w:tcPr>
            <w:tcW w:w="8070"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widowControl w:val="false"/>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1º Fornecedor (razão social, CNPJ/MF, endereço, contatos, representante)</w:t>
            </w:r>
          </w:p>
          <w:p>
            <w:pPr>
              <w:pStyle w:val="Normal"/>
              <w:widowControl w:val="false"/>
              <w:spacing w:before="0" w:after="20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674" w:hRule="atLeast"/>
        </w:trPr>
        <w:tc>
          <w:tcPr>
            <w:tcW w:w="495" w:type="dxa"/>
            <w:tcBorders>
              <w:top w:val="single" w:sz="2" w:space="0" w:color="000001"/>
              <w:left w:val="single" w:sz="2" w:space="0" w:color="000001"/>
              <w:bottom w:val="single" w:sz="2" w:space="0" w:color="000001"/>
              <w:insideH w:val="single" w:sz="2" w:space="0" w:color="000001"/>
            </w:tcBorders>
            <w:shd w:fill="FFFFFF" w:val="clear"/>
            <w:tcMar>
              <w:left w:w="-2" w:type="dxa"/>
            </w:tcMar>
            <w:vAlign w:val="cente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X</w:t>
            </w:r>
          </w:p>
        </w:tc>
        <w:tc>
          <w:tcPr>
            <w:tcW w:w="1183"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both"/>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Especificação</w:t>
            </w:r>
          </w:p>
        </w:tc>
        <w:tc>
          <w:tcPr>
            <w:tcW w:w="1404"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 xml:space="preserve">Marca </w:t>
            </w:r>
          </w:p>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exigida no edital)</w:t>
            </w:r>
          </w:p>
        </w:tc>
        <w:tc>
          <w:tcPr>
            <w:tcW w:w="1541"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Modelo</w:t>
            </w:r>
          </w:p>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exigido no edital)</w:t>
            </w:r>
          </w:p>
        </w:tc>
        <w:tc>
          <w:tcPr>
            <w:tcW w:w="1123"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Unidade</w:t>
            </w:r>
          </w:p>
        </w:tc>
        <w:tc>
          <w:tcPr>
            <w:tcW w:w="1123"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Quantidade</w:t>
            </w:r>
          </w:p>
        </w:tc>
        <w:tc>
          <w:tcPr>
            <w:tcW w:w="842"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Valor Un</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Prazo garantia ou validade</w:t>
            </w:r>
          </w:p>
        </w:tc>
      </w:tr>
      <w:tr>
        <w:trPr>
          <w:trHeight w:val="174" w:hRule="atLeast"/>
        </w:trPr>
        <w:tc>
          <w:tcPr>
            <w:tcW w:w="495"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83"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404"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541"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23"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23"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842"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bl>
    <w:p>
      <w:pPr>
        <w:pStyle w:val="Normal"/>
        <w:jc w:val="center"/>
        <w:rPr>
          <w:rFonts w:ascii="Times New Roman" w:hAnsi="Times New Roman" w:eastAsia="Times New Roman" w:cs="Times New Roman"/>
          <w:b w:val="false"/>
          <w:b w:val="false"/>
          <w:bCs w:val="false"/>
          <w:i w:val="false"/>
          <w:i w:val="false"/>
          <w:iCs w:val="false"/>
          <w:color w:val="000000"/>
          <w:sz w:val="22"/>
          <w:szCs w:val="22"/>
          <w:highlight w:val="yellow"/>
          <w:lang w:val="pt-BR" w:eastAsia="pt-BR" w:bidi="ar-SA"/>
        </w:rPr>
      </w:pPr>
      <w:r>
        <w:rPr>
          <w:rFonts w:eastAsia="Times New Roman" w:cs="Times New Roman" w:ascii="Times New Roman" w:hAnsi="Times New Roman"/>
          <w:b w:val="false"/>
          <w:bCs w:val="false"/>
          <w:i w:val="false"/>
          <w:iCs w:val="false"/>
          <w:color w:val="000000"/>
          <w:sz w:val="22"/>
          <w:szCs w:val="22"/>
          <w:highlight w:val="yellow"/>
          <w:lang w:val="pt-BR" w:eastAsia="pt-BR" w:bidi="ar-SA"/>
        </w:rPr>
      </w:r>
    </w:p>
    <w:p>
      <w:pPr>
        <w:pStyle w:val="Normal"/>
        <w:jc w:val="center"/>
        <w:rPr>
          <w:rFonts w:ascii="Times New Roman" w:hAnsi="Times New Roman" w:eastAsia="Times New Roman" w:cs="Times New Roman"/>
          <w:b w:val="false"/>
          <w:b w:val="false"/>
          <w:bCs w:val="false"/>
          <w:i w:val="false"/>
          <w:i w:val="false"/>
          <w:iCs w:val="false"/>
          <w:color w:val="000000"/>
          <w:sz w:val="22"/>
          <w:szCs w:val="22"/>
          <w:highlight w:val="yellow"/>
          <w:lang w:val="pt-BR" w:eastAsia="pt-BR" w:bidi="ar-SA"/>
        </w:rPr>
      </w:pPr>
      <w:r>
        <w:rPr>
          <w:rFonts w:eastAsia="Times New Roman" w:cs="Times New Roman" w:ascii="Times New Roman" w:hAnsi="Times New Roman"/>
          <w:b w:val="false"/>
          <w:bCs w:val="false"/>
          <w:i w:val="false"/>
          <w:iCs w:val="false"/>
          <w:color w:val="000000"/>
          <w:sz w:val="22"/>
          <w:szCs w:val="22"/>
          <w:highlight w:val="yellow"/>
          <w:lang w:val="pt-BR" w:eastAsia="pt-BR" w:bidi="ar-SA"/>
        </w:rPr>
      </w:r>
    </w:p>
    <w:tbl>
      <w:tblPr>
        <w:tblW w:w="8566" w:type="dxa"/>
        <w:jc w:val="left"/>
        <w:tblInd w:w="-106" w:type="dxa"/>
        <w:tblBorders>
          <w:top w:val="single" w:sz="2" w:space="0" w:color="000001"/>
          <w:left w:val="single" w:sz="2" w:space="0" w:color="000001"/>
          <w:bottom w:val="single" w:sz="2" w:space="0" w:color="000001"/>
          <w:insideH w:val="single" w:sz="2" w:space="0" w:color="000001"/>
        </w:tblBorders>
        <w:tblCellMar>
          <w:top w:w="0" w:type="dxa"/>
          <w:left w:w="-2" w:type="dxa"/>
          <w:bottom w:w="0" w:type="dxa"/>
          <w:right w:w="10" w:type="dxa"/>
        </w:tblCellMar>
      </w:tblPr>
      <w:tblGrid>
        <w:gridCol w:w="495"/>
        <w:gridCol w:w="1183"/>
        <w:gridCol w:w="1404"/>
        <w:gridCol w:w="1541"/>
        <w:gridCol w:w="1123"/>
        <w:gridCol w:w="1123"/>
        <w:gridCol w:w="842"/>
        <w:gridCol w:w="854"/>
      </w:tblGrid>
      <w:tr>
        <w:trPr>
          <w:trHeight w:val="511" w:hRule="atLeast"/>
        </w:trPr>
        <w:tc>
          <w:tcPr>
            <w:tcW w:w="495" w:type="dxa"/>
            <w:tcBorders>
              <w:top w:val="single" w:sz="2" w:space="0" w:color="000001"/>
              <w:left w:val="single" w:sz="2" w:space="0" w:color="000001"/>
              <w:bottom w:val="single" w:sz="2" w:space="0" w:color="000001"/>
              <w:insideH w:val="single" w:sz="2" w:space="0" w:color="000001"/>
            </w:tcBorders>
            <w:shd w:fill="FFFFFF" w:val="clear"/>
            <w:tcMar>
              <w:left w:w="-2" w:type="dxa"/>
            </w:tcMar>
            <w:vAlign w:val="center"/>
          </w:tcPr>
          <w:p>
            <w:pPr>
              <w:pStyle w:val="Normal"/>
              <w:widowControl w:val="false"/>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Item</w:t>
            </w:r>
          </w:p>
          <w:p>
            <w:pPr>
              <w:pStyle w:val="Normal"/>
              <w:widowControl w:val="false"/>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do</w:t>
            </w:r>
          </w:p>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TR</w:t>
            </w:r>
          </w:p>
        </w:tc>
        <w:tc>
          <w:tcPr>
            <w:tcW w:w="8070"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widowControl w:val="false"/>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2º Fornecedor (razão social, CNPJ/MF, endereço, contatos, representante)</w:t>
            </w:r>
          </w:p>
          <w:p>
            <w:pPr>
              <w:pStyle w:val="Normal"/>
              <w:widowControl w:val="false"/>
              <w:spacing w:before="0" w:after="20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674" w:hRule="atLeast"/>
        </w:trPr>
        <w:tc>
          <w:tcPr>
            <w:tcW w:w="495" w:type="dxa"/>
            <w:tcBorders>
              <w:top w:val="single" w:sz="2" w:space="0" w:color="000001"/>
              <w:left w:val="single" w:sz="2" w:space="0" w:color="000001"/>
              <w:bottom w:val="single" w:sz="2" w:space="0" w:color="000001"/>
              <w:insideH w:val="single" w:sz="2" w:space="0" w:color="000001"/>
            </w:tcBorders>
            <w:shd w:fill="FFFFFF" w:val="clear"/>
            <w:tcMar>
              <w:left w:w="-2" w:type="dxa"/>
            </w:tcMar>
            <w:vAlign w:val="cente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X</w:t>
            </w:r>
          </w:p>
        </w:tc>
        <w:tc>
          <w:tcPr>
            <w:tcW w:w="1183"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both"/>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Especificação</w:t>
            </w:r>
          </w:p>
        </w:tc>
        <w:tc>
          <w:tcPr>
            <w:tcW w:w="1404"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 xml:space="preserve">Marca </w:t>
            </w:r>
          </w:p>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exigida no edital)</w:t>
            </w:r>
          </w:p>
        </w:tc>
        <w:tc>
          <w:tcPr>
            <w:tcW w:w="1541"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Modelo</w:t>
            </w:r>
          </w:p>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exigido no edital)</w:t>
            </w:r>
          </w:p>
        </w:tc>
        <w:tc>
          <w:tcPr>
            <w:tcW w:w="1123"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Unidade</w:t>
            </w:r>
          </w:p>
        </w:tc>
        <w:tc>
          <w:tcPr>
            <w:tcW w:w="1123"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Quantidade</w:t>
            </w:r>
          </w:p>
        </w:tc>
        <w:tc>
          <w:tcPr>
            <w:tcW w:w="842"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Valor Un</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Prazo garantia ou validade</w:t>
            </w:r>
          </w:p>
        </w:tc>
      </w:tr>
      <w:tr>
        <w:trPr>
          <w:trHeight w:val="174" w:hRule="atLeast"/>
        </w:trPr>
        <w:tc>
          <w:tcPr>
            <w:tcW w:w="495"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83"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404"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541"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23"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23"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842"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bl>
    <w:p>
      <w:pPr>
        <w:pStyle w:val="Normal"/>
        <w:jc w:val="center"/>
        <w:rPr>
          <w:rFonts w:ascii="Times New Roman" w:hAnsi="Times New Roman" w:eastAsia="Times New Roman" w:cs="Times New Roman"/>
          <w:b w:val="false"/>
          <w:b w:val="false"/>
          <w:bCs w:val="false"/>
          <w:i w:val="false"/>
          <w:i w:val="false"/>
          <w:iCs w:val="false"/>
          <w:color w:val="000000"/>
          <w:sz w:val="22"/>
          <w:szCs w:val="22"/>
          <w:highlight w:val="yellow"/>
          <w:lang w:val="pt-BR" w:eastAsia="pt-BR" w:bidi="ar-SA"/>
        </w:rPr>
      </w:pPr>
      <w:r>
        <w:rPr>
          <w:rFonts w:eastAsia="Times New Roman" w:cs="Times New Roman" w:ascii="Times New Roman" w:hAnsi="Times New Roman"/>
          <w:b w:val="false"/>
          <w:bCs w:val="false"/>
          <w:i w:val="false"/>
          <w:iCs w:val="false"/>
          <w:color w:val="000000"/>
          <w:sz w:val="22"/>
          <w:szCs w:val="22"/>
          <w:highlight w:val="yellow"/>
          <w:lang w:val="pt-BR" w:eastAsia="pt-BR" w:bidi="ar-SA"/>
        </w:rPr>
      </w:r>
    </w:p>
    <w:p>
      <w:pPr>
        <w:pStyle w:val="Normal"/>
        <w:jc w:val="center"/>
        <w:rPr>
          <w:rFonts w:ascii="Times New Roman" w:hAnsi="Times New Roman" w:eastAsia="Times New Roman" w:cs="Times New Roman"/>
          <w:b w:val="false"/>
          <w:b w:val="false"/>
          <w:bCs w:val="false"/>
          <w:i w:val="false"/>
          <w:i w:val="false"/>
          <w:iCs w:val="false"/>
          <w:color w:val="000000"/>
          <w:sz w:val="22"/>
          <w:szCs w:val="22"/>
          <w:highlight w:val="yellow"/>
          <w:lang w:val="pt-BR" w:eastAsia="pt-BR" w:bidi="ar-SA"/>
        </w:rPr>
      </w:pPr>
      <w:r>
        <w:rPr>
          <w:rFonts w:eastAsia="Times New Roman" w:cs="Times New Roman" w:ascii="Times New Roman" w:hAnsi="Times New Roman"/>
          <w:b w:val="false"/>
          <w:bCs w:val="false"/>
          <w:i w:val="false"/>
          <w:iCs w:val="false"/>
          <w:color w:val="000000"/>
          <w:sz w:val="22"/>
          <w:szCs w:val="22"/>
          <w:highlight w:val="yellow"/>
          <w:lang w:val="pt-BR" w:eastAsia="pt-BR" w:bidi="ar-SA"/>
        </w:rPr>
      </w:r>
    </w:p>
    <w:tbl>
      <w:tblPr>
        <w:tblW w:w="8566" w:type="dxa"/>
        <w:jc w:val="left"/>
        <w:tblInd w:w="-106" w:type="dxa"/>
        <w:tblBorders>
          <w:top w:val="single" w:sz="2" w:space="0" w:color="000001"/>
          <w:left w:val="single" w:sz="2" w:space="0" w:color="000001"/>
          <w:bottom w:val="single" w:sz="2" w:space="0" w:color="000001"/>
          <w:insideH w:val="single" w:sz="2" w:space="0" w:color="000001"/>
        </w:tblBorders>
        <w:tblCellMar>
          <w:top w:w="0" w:type="dxa"/>
          <w:left w:w="-2" w:type="dxa"/>
          <w:bottom w:w="0" w:type="dxa"/>
          <w:right w:w="10" w:type="dxa"/>
        </w:tblCellMar>
      </w:tblPr>
      <w:tblGrid>
        <w:gridCol w:w="495"/>
        <w:gridCol w:w="1183"/>
        <w:gridCol w:w="1404"/>
        <w:gridCol w:w="1541"/>
        <w:gridCol w:w="1123"/>
        <w:gridCol w:w="1123"/>
        <w:gridCol w:w="842"/>
        <w:gridCol w:w="854"/>
      </w:tblGrid>
      <w:tr>
        <w:trPr>
          <w:trHeight w:val="511" w:hRule="atLeast"/>
        </w:trPr>
        <w:tc>
          <w:tcPr>
            <w:tcW w:w="495" w:type="dxa"/>
            <w:tcBorders>
              <w:top w:val="single" w:sz="2" w:space="0" w:color="000001"/>
              <w:left w:val="single" w:sz="2" w:space="0" w:color="000001"/>
              <w:bottom w:val="single" w:sz="2" w:space="0" w:color="000001"/>
              <w:insideH w:val="single" w:sz="2" w:space="0" w:color="000001"/>
            </w:tcBorders>
            <w:shd w:fill="FFFFFF" w:val="clear"/>
            <w:tcMar>
              <w:left w:w="-2" w:type="dxa"/>
            </w:tcMar>
            <w:vAlign w:val="center"/>
          </w:tcPr>
          <w:p>
            <w:pPr>
              <w:pStyle w:val="Normal"/>
              <w:widowControl w:val="false"/>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Item</w:t>
            </w:r>
          </w:p>
          <w:p>
            <w:pPr>
              <w:pStyle w:val="Normal"/>
              <w:widowControl w:val="false"/>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do</w:t>
            </w:r>
          </w:p>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TR</w:t>
            </w:r>
          </w:p>
        </w:tc>
        <w:tc>
          <w:tcPr>
            <w:tcW w:w="8070"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widowControl w:val="false"/>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3º Fornecedor (razão social, CNPJ/MF, endereço, contatos, representante)</w:t>
            </w:r>
          </w:p>
          <w:p>
            <w:pPr>
              <w:pStyle w:val="Normal"/>
              <w:widowControl w:val="false"/>
              <w:spacing w:before="0" w:after="20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674" w:hRule="atLeast"/>
        </w:trPr>
        <w:tc>
          <w:tcPr>
            <w:tcW w:w="495" w:type="dxa"/>
            <w:tcBorders>
              <w:top w:val="single" w:sz="2" w:space="0" w:color="000001"/>
              <w:left w:val="single" w:sz="2" w:space="0" w:color="000001"/>
              <w:bottom w:val="single" w:sz="2" w:space="0" w:color="000001"/>
              <w:insideH w:val="single" w:sz="2" w:space="0" w:color="000001"/>
            </w:tcBorders>
            <w:shd w:fill="FFFFFF" w:val="clear"/>
            <w:tcMar>
              <w:left w:w="-2" w:type="dxa"/>
            </w:tcMar>
            <w:vAlign w:val="cente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X</w:t>
            </w:r>
          </w:p>
        </w:tc>
        <w:tc>
          <w:tcPr>
            <w:tcW w:w="1183"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both"/>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Especificação</w:t>
            </w:r>
          </w:p>
        </w:tc>
        <w:tc>
          <w:tcPr>
            <w:tcW w:w="1404"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 xml:space="preserve">Marca </w:t>
            </w:r>
          </w:p>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exigida no edital)</w:t>
            </w:r>
          </w:p>
        </w:tc>
        <w:tc>
          <w:tcPr>
            <w:tcW w:w="1541"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Modelo</w:t>
            </w:r>
          </w:p>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exigido no edital)</w:t>
            </w:r>
          </w:p>
        </w:tc>
        <w:tc>
          <w:tcPr>
            <w:tcW w:w="1123"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Unidade</w:t>
            </w:r>
          </w:p>
        </w:tc>
        <w:tc>
          <w:tcPr>
            <w:tcW w:w="1123"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Quantidade</w:t>
            </w:r>
          </w:p>
        </w:tc>
        <w:tc>
          <w:tcPr>
            <w:tcW w:w="842"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Valor Un</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Prazo garantia ou validade</w:t>
            </w:r>
          </w:p>
        </w:tc>
      </w:tr>
      <w:tr>
        <w:trPr>
          <w:trHeight w:val="174" w:hRule="atLeast"/>
        </w:trPr>
        <w:tc>
          <w:tcPr>
            <w:tcW w:w="495"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83"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404"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541"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23"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23"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842"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bl>
    <w:p>
      <w:pPr>
        <w:pStyle w:val="Normal"/>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ind w:left="0"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ind w:left="0" w:right="0" w:hanging="0"/>
        <w:jc w:val="right"/>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Local e data</w:t>
      </w:r>
    </w:p>
    <w:p>
      <w:pPr>
        <w:pStyle w:val="Normal"/>
        <w:spacing w:lineRule="atLeast" w:line="200" w:before="0" w:after="0"/>
        <w:ind w:left="0"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lineRule="atLeast" w:line="200" w:before="0" w:after="0"/>
        <w:ind w:left="0" w:right="0" w:hanging="0"/>
        <w:jc w:val="center"/>
        <w:rPr>
          <w:rFonts w:ascii="Arial" w:hAnsi="Arial" w:cs="Arial"/>
          <w:b/>
          <w:b/>
          <w:bCs/>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Assinaturas</w:t>
      </w:r>
    </w:p>
    <w:p>
      <w:pPr>
        <w:pStyle w:val="Normal"/>
        <w:spacing w:lineRule="atLeast" w:line="200" w:before="0" w:after="0"/>
        <w:ind w:left="0"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lineRule="atLeast" w:line="200" w:before="0" w:after="0"/>
        <w:ind w:left="0"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lineRule="atLeast" w:line="200" w:before="0" w:after="0"/>
        <w:ind w:left="0"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before="0" w:after="0"/>
        <w:ind w:left="0" w:right="-17"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before="0" w:after="0"/>
        <w:ind w:left="0" w:right="-17"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before="0" w:after="0"/>
        <w:ind w:left="0" w:right="-17" w:hanging="0"/>
        <w:jc w:val="center"/>
        <w:rPr>
          <w:rFonts w:ascii="Arial" w:hAnsi="Arial" w:cs="Arial"/>
          <w:b/>
          <w:b/>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ANEXO III</w:t>
      </w:r>
    </w:p>
    <w:p>
      <w:pPr>
        <w:pStyle w:val="Normal"/>
        <w:spacing w:before="0" w:after="0"/>
        <w:ind w:left="0" w:right="-17" w:hanging="0"/>
        <w:jc w:val="center"/>
        <w:rPr>
          <w:rFonts w:ascii="Arial" w:hAnsi="Arial" w:cs="Arial"/>
          <w:b/>
          <w:b/>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TERMO DE CONTRATO</w:t>
      </w:r>
    </w:p>
    <w:p>
      <w:pPr>
        <w:pStyle w:val="Normal"/>
        <w:spacing w:before="0" w:after="0"/>
        <w:ind w:left="0" w:right="-17" w:hanging="0"/>
        <w:jc w:val="center"/>
        <w:rPr>
          <w:rFonts w:ascii="Arial" w:hAnsi="Arial" w:cs="Arial"/>
          <w:b/>
          <w:b/>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COMPRA</w:t>
      </w:r>
    </w:p>
    <w:p>
      <w:pPr>
        <w:pStyle w:val="Normal"/>
        <w:spacing w:lineRule="auto" w:line="360"/>
        <w:ind w:left="0" w:right="-17"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ind w:left="3969" w:right="-17"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TERMO DE CONTRATO DE COMPRA Nº ......../...., QUE FAZEM ENTRE SI O IF SERTÃO PE – CAMPI/REITORIA E A EMPRESA .............................................................  </w:t>
      </w:r>
    </w:p>
    <w:p>
      <w:pPr>
        <w:pStyle w:val="Normal"/>
        <w:spacing w:lineRule="auto" w:line="360" w:before="0" w:after="120"/>
        <w:ind w:left="0" w:right="-15"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lineRule="auto" w:line="360" w:before="0" w:after="120"/>
        <w:ind w:left="0" w:right="-15"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lineRule="auto" w:line="276" w:before="120" w:after="120"/>
        <w:jc w:val="both"/>
        <w:rPr/>
      </w:pPr>
      <w:r>
        <w:rPr>
          <w:rFonts w:eastAsia="Times New Roman" w:cs="Times New Roman" w:ascii="Times New Roman" w:hAnsi="Times New Roman"/>
          <w:b/>
          <w:bCs/>
          <w:i w:val="false"/>
          <w:iCs w:val="false"/>
          <w:color w:val="000000"/>
          <w:sz w:val="22"/>
          <w:szCs w:val="22"/>
          <w:lang w:val="pt-BR" w:eastAsia="pt-BR" w:bidi="ar-SA"/>
        </w:rPr>
        <w:t>O Instituto Federal de Educação, Ciência e Tecnologia do Sertão Pernambucano – Reitoria</w:t>
      </w:r>
      <w:r>
        <w:rPr>
          <w:rFonts w:eastAsia="Times New Roman" w:cs="Times New Roman" w:ascii="Times New Roman" w:hAnsi="Times New Roman"/>
          <w:b w:val="false"/>
          <w:bCs w:val="false"/>
          <w:i w:val="false"/>
          <w:iCs w:val="false"/>
          <w:color w:val="000000"/>
          <w:sz w:val="22"/>
          <w:szCs w:val="22"/>
          <w:lang w:val="pt-BR" w:eastAsia="pt-BR" w:bidi="ar-SA"/>
        </w:rPr>
        <w:t xml:space="preserve">, com sede na </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Rua Aristarco Lopes, 240, Centro,  Petrolina-PE</w:t>
      </w:r>
      <w:r>
        <w:rPr>
          <w:rStyle w:val="Fontepargpadro"/>
          <w:rFonts w:eastAsia="Times New Roman" w:cs="Times New Roman" w:ascii="Times New Roman" w:hAnsi="Times New Roman"/>
          <w:b w:val="false"/>
          <w:bCs w:val="false"/>
          <w:i w:val="false"/>
          <w:iCs w:val="false"/>
          <w:color w:val="000000"/>
          <w:spacing w:val="0"/>
          <w:sz w:val="22"/>
          <w:szCs w:val="22"/>
          <w:u w:val="none"/>
          <w:lang w:val="pt-BR" w:eastAsia="pt-BR" w:bidi="ar-SA"/>
        </w:rPr>
        <w:t>, CEP: 56302-100</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 TEL/FAX: (087) 2101-2350</w:t>
      </w:r>
      <w:r>
        <w:rPr>
          <w:rFonts w:eastAsia="Times New Roman" w:cs="Times New Roman" w:ascii="Times New Roman" w:hAnsi="Times New Roman"/>
          <w:b w:val="false"/>
          <w:bCs w:val="false"/>
          <w:i w:val="false"/>
          <w:iCs w:val="false"/>
          <w:color w:val="000000"/>
          <w:sz w:val="22"/>
          <w:szCs w:val="22"/>
          <w:lang w:val="pt-BR" w:eastAsia="pt-BR" w:bidi="ar-SA"/>
        </w:rPr>
        <w:t>, inscrito(a) no CNPJ sob o nº 10.830.301/0001-04, neste ato representado pelo(a) Magnífica Reitora Maria Leopoldina Veras Camelo , nomeado(a) pelo Decreto Presidencial de 12 de abril de 2016, publicada no DOU de 13 de abril de 2016, inscrito(a) no CPF sob o nº 524.252.073-68 portador(a) da Carteira de Identidade nº 10.258.413 SSP/CE doravante denominada CONTRATANTE, e o(a) .............................. inscrito(a) no CNPJ/MF sob o nº ............................, sediado(a) na ..................................., em ............................. doravante designada CONTRATADA, neste ato representada pelo(a) Sr.(a) ....................., portador(a) da Carteira de Identidade nº ................., expedida pela (o) .................., e CPF nº ........................., tendo em vista o que consta no Processo nº  23600.000001.2019-17 e em observância às disposições da Lei nº 8.666, de 21 de junho de 1993, da Lei nº 10.520, de 17 de julho de 2002 e na Lei nº 8.078, de 1990 - Código de Defesa do Consumidor, resolvem celebrar o presente Termo de Contrato, decorrente do Pregão nº ........../20...., mediante as cláusulas e condições a seguir enunciadas.</w:t>
      </w:r>
    </w:p>
    <w:p>
      <w:pPr>
        <w:pStyle w:val="Normal"/>
        <w:spacing w:lineRule="auto" w:line="276" w:before="120" w:after="12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lineRule="auto" w:line="276" w:before="120" w:after="120"/>
        <w:ind w:left="360" w:right="0" w:hanging="0"/>
        <w:jc w:val="both"/>
        <w:rPr>
          <w:rFonts w:ascii="Arial" w:hAnsi="Arial" w:cs="Arial"/>
          <w:b/>
          <w:b/>
          <w:sz w:val="20"/>
          <w:szCs w:val="20"/>
        </w:rPr>
      </w:pPr>
      <w:r>
        <w:rPr>
          <w:rFonts w:eastAsia="Times New Roman" w:cs="Times New Roman" w:ascii="Times New Roman" w:hAnsi="Times New Roman"/>
          <w:b/>
          <w:bCs/>
          <w:i w:val="false"/>
          <w:iCs w:val="false"/>
          <w:color w:val="000000"/>
          <w:sz w:val="22"/>
          <w:szCs w:val="22"/>
          <w:lang w:val="pt-BR" w:eastAsia="pt-BR" w:bidi="ar-SA"/>
        </w:rPr>
        <w:t>1. CLÁUSULA PRIMEIRA – OBJETO</w:t>
      </w:r>
    </w:p>
    <w:p>
      <w:pPr>
        <w:pStyle w:val="Normal"/>
        <w:spacing w:lineRule="auto" w:line="276" w:before="120" w:after="120"/>
        <w:ind w:left="36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1.1. O objeto do presente Termo de Contrato é a </w:t>
      </w:r>
      <w:r>
        <w:rPr>
          <w:rFonts w:eastAsia="Times New Roman" w:cs="Times New Roman" w:ascii="Times New Roman" w:hAnsi="Times New Roman"/>
          <w:b/>
          <w:bCs/>
          <w:i w:val="false"/>
          <w:iCs w:val="false"/>
          <w:color w:val="000000"/>
          <w:sz w:val="22"/>
          <w:szCs w:val="22"/>
          <w:lang w:val="pt-BR" w:eastAsia="pt-BR" w:bidi="ar-SA"/>
        </w:rPr>
        <w:t>A</w:t>
      </w:r>
      <w:r>
        <w:rPr>
          <w:rFonts w:eastAsia="Times New Roman" w:cs="Times New Roman" w:ascii="Times New Roman" w:hAnsi="Times New Roman"/>
          <w:b/>
          <w:bCs/>
          <w:i w:val="false"/>
          <w:iCs w:val="false"/>
          <w:color w:val="000000"/>
          <w:sz w:val="22"/>
          <w:szCs w:val="22"/>
          <w:lang w:val="pt-BR" w:eastAsia="pt-BR" w:bidi="ar-SA"/>
        </w:rPr>
        <w:t xml:space="preserve">quisição de </w:t>
      </w:r>
      <w:r>
        <w:rPr>
          <w:rStyle w:val="Fontepargpadro"/>
          <w:rFonts w:eastAsia="Times New Roman" w:cs="Times New Roman" w:ascii="Times New Roman" w:hAnsi="Times New Roman"/>
          <w:b/>
          <w:bCs/>
          <w:i w:val="false"/>
          <w:iCs w:val="false"/>
          <w:color w:val="000000"/>
          <w:sz w:val="22"/>
          <w:szCs w:val="22"/>
          <w:lang w:val="pt-BR" w:eastAsia="pt-BR" w:bidi="ar-SA"/>
        </w:rPr>
        <w:t xml:space="preserve">Aquisição de Gêneros Alimentícios </w:t>
      </w:r>
      <w:r>
        <w:rPr>
          <w:rFonts w:eastAsia="Times New Roman" w:cs="Times New Roman" w:ascii="Times New Roman" w:hAnsi="Times New Roman"/>
          <w:b/>
          <w:bCs/>
          <w:i w:val="false"/>
          <w:iCs w:val="false"/>
          <w:color w:val="000000"/>
          <w:sz w:val="22"/>
          <w:szCs w:val="22"/>
          <w:lang w:val="pt-BR" w:eastAsia="pt-BR" w:bidi="ar-SA"/>
        </w:rPr>
        <w:t>para atender aos Campi e Reitoria do Instituto Federal de Educação, Ciência e Tecnologia do Sertão Pernambucano – IF SERTÃO-PE</w:t>
      </w:r>
      <w:r>
        <w:rPr>
          <w:rFonts w:eastAsia="Times New Roman" w:cs="Times New Roman" w:ascii="Times New Roman" w:hAnsi="Times New Roman"/>
          <w:b w:val="false"/>
          <w:bCs w:val="false"/>
          <w:i w:val="false"/>
          <w:iCs w:val="false"/>
          <w:color w:val="000000"/>
          <w:sz w:val="22"/>
          <w:szCs w:val="22"/>
          <w:lang w:val="pt-BR" w:eastAsia="pt-BR" w:bidi="ar-SA"/>
        </w:rPr>
        <w:t>, conforme especificações e quantitativos estabelecidos no Edital do Pregão identificado no preâmbulo e na proposta vencedora, os quais integram este instrumento, independente de transcrição.</w:t>
      </w:r>
    </w:p>
    <w:p>
      <w:pPr>
        <w:pStyle w:val="Normal"/>
        <w:spacing w:lineRule="auto" w:line="276" w:before="120" w:after="120"/>
        <w:ind w:left="785" w:right="0" w:hanging="0"/>
        <w:jc w:val="both"/>
        <w:rPr>
          <w:rFonts w:ascii="Arial" w:hAnsi="Arial" w:cs="Arial"/>
          <w:color w:val="000000"/>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1.2. Discriminação do objeto:</w:t>
      </w:r>
    </w:p>
    <w:tbl>
      <w:tblPr>
        <w:tblW w:w="9395" w:type="dxa"/>
        <w:jc w:val="left"/>
        <w:tblInd w:w="-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8" w:type="dxa"/>
        </w:tblCellMar>
      </w:tblPr>
      <w:tblGrid>
        <w:gridCol w:w="1097"/>
        <w:gridCol w:w="2084"/>
        <w:gridCol w:w="2187"/>
        <w:gridCol w:w="1365"/>
        <w:gridCol w:w="1347"/>
        <w:gridCol w:w="1314"/>
      </w:tblGrid>
      <w:tr>
        <w:trPr>
          <w:trHeight w:val="723"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ITEM</w:t>
            </w:r>
          </w:p>
          <w:p>
            <w:pPr>
              <w:pStyle w:val="Normal"/>
              <w:widowControl w:val="false"/>
              <w:suppressAutoHyphens w:val="true"/>
              <w:spacing w:before="0" w:after="12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tc>
        <w:tc>
          <w:tcPr>
            <w:tcW w:w="2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DESCRIÇÃO/</w:t>
            </w:r>
          </w:p>
          <w:p>
            <w:pPr>
              <w:pStyle w:val="Normal"/>
              <w:widowControl w:val="false"/>
              <w:suppressAutoHyphens w:val="true"/>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ESPECIFICAÇÃO</w:t>
            </w:r>
          </w:p>
        </w:tc>
        <w:tc>
          <w:tcPr>
            <w:tcW w:w="2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IDENTIFICAÇÃO CATMAT</w:t>
            </w:r>
          </w:p>
        </w:tc>
        <w:tc>
          <w:tcPr>
            <w:tcW w:w="1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UNIDADE DE MEDIDA</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QUANTIDADE</w:t>
            </w:r>
          </w:p>
        </w:tc>
        <w:tc>
          <w:tcPr>
            <w:tcW w:w="1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VALOR</w:t>
            </w:r>
          </w:p>
        </w:tc>
      </w:tr>
      <w:tr>
        <w:trPr>
          <w:trHeight w:val="369"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jc w:val="center"/>
              <w:rPr>
                <w:rFonts w:ascii="Arial" w:hAnsi="Arial" w:cs="Arial"/>
                <w:b/>
                <w:b/>
                <w:color w:val="000000"/>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1</w:t>
            </w:r>
          </w:p>
        </w:tc>
        <w:tc>
          <w:tcPr>
            <w:tcW w:w="2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354"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jc w:val="center"/>
              <w:rPr>
                <w:rFonts w:ascii="Arial" w:hAnsi="Arial" w:cs="Arial"/>
                <w:b/>
                <w:b/>
                <w:color w:val="000000"/>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2</w:t>
            </w:r>
          </w:p>
        </w:tc>
        <w:tc>
          <w:tcPr>
            <w:tcW w:w="2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354"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jc w:val="center"/>
              <w:rPr>
                <w:rFonts w:ascii="Arial" w:hAnsi="Arial" w:cs="Arial"/>
                <w:b/>
                <w:b/>
                <w:color w:val="000000"/>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3</w:t>
            </w:r>
          </w:p>
        </w:tc>
        <w:tc>
          <w:tcPr>
            <w:tcW w:w="2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369"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jc w:val="center"/>
              <w:rPr>
                <w:rFonts w:ascii="Arial" w:hAnsi="Arial" w:cs="Arial"/>
                <w:b/>
                <w:b/>
                <w:color w:val="000000"/>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w:t>
            </w:r>
          </w:p>
        </w:tc>
        <w:tc>
          <w:tcPr>
            <w:tcW w:w="2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bl>
    <w:p>
      <w:pPr>
        <w:pStyle w:val="Normal"/>
        <w:spacing w:lineRule="auto" w:line="276" w:before="120" w:after="120"/>
        <w:ind w:left="360" w:right="0" w:hanging="0"/>
        <w:jc w:val="both"/>
        <w:rPr>
          <w:rFonts w:ascii="Arial" w:hAnsi="Arial" w:cs="Arial"/>
          <w:b/>
          <w:b/>
          <w:sz w:val="20"/>
          <w:szCs w:val="20"/>
        </w:rPr>
      </w:pPr>
      <w:r>
        <w:rPr>
          <w:rFonts w:eastAsia="Times New Roman" w:cs="Times New Roman" w:ascii="Times New Roman" w:hAnsi="Times New Roman"/>
          <w:b/>
          <w:bCs/>
          <w:i w:val="false"/>
          <w:iCs w:val="false"/>
          <w:color w:val="000000"/>
          <w:sz w:val="22"/>
          <w:szCs w:val="22"/>
          <w:lang w:val="pt-BR" w:eastAsia="pt-BR" w:bidi="ar-SA"/>
        </w:rPr>
        <w:t>2. CLÁUSULA SEGUNDA – VIGÊNCIA</w:t>
      </w:r>
    </w:p>
    <w:p>
      <w:pPr>
        <w:pStyle w:val="Normal"/>
        <w:spacing w:lineRule="auto" w:line="276" w:before="120" w:after="120"/>
        <w:ind w:left="36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2.1. </w:t>
      </w:r>
      <w:bookmarkStart w:id="16" w:name="__DdeLink__2240_10144028031"/>
      <w:r>
        <w:rPr>
          <w:rFonts w:eastAsia="Times New Roman" w:cs="Times New Roman" w:ascii="Times New Roman" w:hAnsi="Times New Roman"/>
          <w:b w:val="false"/>
          <w:bCs w:val="false"/>
          <w:i w:val="false"/>
          <w:iCs w:val="false"/>
          <w:color w:val="000000"/>
          <w:sz w:val="22"/>
          <w:szCs w:val="22"/>
          <w:lang w:val="pt-BR" w:eastAsia="pt-BR" w:bidi="ar-SA"/>
        </w:rPr>
        <w:t xml:space="preserve">O prazo de vigência deste Termo de Contrato </w:t>
      </w:r>
      <w:bookmarkEnd w:id="16"/>
      <w:r>
        <w:rPr>
          <w:rFonts w:eastAsia="Times New Roman" w:cs="Times New Roman" w:ascii="Times New Roman" w:hAnsi="Times New Roman"/>
          <w:b w:val="false"/>
          <w:bCs w:val="false"/>
          <w:i w:val="false"/>
          <w:iCs w:val="false"/>
          <w:color w:val="000000"/>
          <w:sz w:val="22"/>
          <w:szCs w:val="22"/>
          <w:lang w:val="pt-BR" w:eastAsia="pt-BR" w:bidi="ar-SA"/>
        </w:rPr>
        <w:t xml:space="preserve">ficará adstrito a vigência dos respectivos créditos orçamentários, prorrogável na forma do art 57, § 1º da Lei nº 8.666 de 1993. </w:t>
      </w:r>
    </w:p>
    <w:p>
      <w:pPr>
        <w:pStyle w:val="Normal"/>
        <w:spacing w:lineRule="auto" w:line="276" w:before="120" w:after="120"/>
        <w:ind w:left="360" w:right="0" w:hanging="0"/>
        <w:jc w:val="both"/>
        <w:rPr>
          <w:rFonts w:ascii="Arial" w:hAnsi="Arial" w:cs="Arial"/>
          <w:b/>
          <w:b/>
          <w:color w:val="000000"/>
          <w:sz w:val="20"/>
          <w:szCs w:val="20"/>
        </w:rPr>
      </w:pPr>
      <w:r>
        <w:rPr>
          <w:rFonts w:eastAsia="Times New Roman" w:cs="Times New Roman" w:ascii="Times New Roman" w:hAnsi="Times New Roman"/>
          <w:b/>
          <w:bCs/>
          <w:i w:val="false"/>
          <w:iCs w:val="false"/>
          <w:color w:val="000000"/>
          <w:sz w:val="22"/>
          <w:szCs w:val="22"/>
          <w:lang w:val="pt-BR" w:eastAsia="pt-BR" w:bidi="ar-SA"/>
        </w:rPr>
        <w:t>3. CLÁUSULA TERCEIRA – PREÇO</w:t>
      </w:r>
    </w:p>
    <w:p>
      <w:pPr>
        <w:pStyle w:val="Normal"/>
        <w:spacing w:lineRule="auto" w:line="276" w:before="120" w:after="120"/>
        <w:ind w:left="785"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3.1 .O valor do presente Termo de Contrato é de R$ ............ (...............).</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3.1.2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pStyle w:val="Normal"/>
        <w:spacing w:lineRule="auto" w:line="276" w:before="120" w:after="120"/>
        <w:ind w:left="360" w:right="0" w:hanging="0"/>
        <w:jc w:val="both"/>
        <w:rPr>
          <w:rFonts w:ascii="Arial" w:hAnsi="Arial" w:cs="Arial"/>
          <w:b/>
          <w:b/>
          <w:sz w:val="20"/>
          <w:szCs w:val="20"/>
        </w:rPr>
      </w:pPr>
      <w:r>
        <w:rPr>
          <w:rFonts w:eastAsia="Times New Roman" w:cs="Times New Roman" w:ascii="Times New Roman" w:hAnsi="Times New Roman"/>
          <w:b/>
          <w:bCs/>
          <w:i w:val="false"/>
          <w:iCs w:val="false"/>
          <w:color w:val="000000"/>
          <w:sz w:val="22"/>
          <w:szCs w:val="22"/>
          <w:lang w:val="pt-BR" w:eastAsia="pt-BR" w:bidi="ar-SA"/>
        </w:rPr>
        <w:t>4. CLÁUSULA QUARTA – DOTAÇÃO ORÇAMENTÁRIA</w:t>
      </w:r>
    </w:p>
    <w:p>
      <w:pPr>
        <w:pStyle w:val="Normal"/>
        <w:spacing w:lineRule="auto" w:line="276" w:before="120" w:after="120"/>
        <w:ind w:left="785"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4.1. As despesas decorrentes desta contratação estão programadas em dotação orçamentária própria, prevista no orçamento da União, para o exercício de 20...., na classificação abaixo:</w:t>
      </w:r>
    </w:p>
    <w:p>
      <w:pPr>
        <w:pStyle w:val="Normal"/>
        <w:spacing w:lineRule="auto" w:line="276" w:before="120" w:after="120"/>
        <w:ind w:left="1134" w:right="0" w:hanging="0"/>
        <w:jc w:val="both"/>
        <w:rPr>
          <w:rFonts w:ascii="Arial" w:hAnsi="Arial" w:cs="Arial"/>
          <w:sz w:val="20"/>
        </w:rPr>
      </w:pPr>
      <w:r>
        <w:rPr>
          <w:rFonts w:eastAsia="Times New Roman" w:cs="Times New Roman" w:ascii="Times New Roman" w:hAnsi="Times New Roman"/>
          <w:b w:val="false"/>
          <w:bCs w:val="false"/>
          <w:i w:val="false"/>
          <w:iCs w:val="false"/>
          <w:color w:val="000000"/>
          <w:sz w:val="22"/>
          <w:szCs w:val="22"/>
          <w:lang w:val="pt-BR" w:eastAsia="pt-BR" w:bidi="ar-SA"/>
        </w:rPr>
        <w:t>Gestão/Unidade:</w:t>
      </w:r>
    </w:p>
    <w:p>
      <w:pPr>
        <w:pStyle w:val="Normal"/>
        <w:spacing w:lineRule="auto" w:line="276" w:before="120" w:after="120"/>
        <w:ind w:left="1134" w:right="0" w:hanging="0"/>
        <w:jc w:val="both"/>
        <w:rPr>
          <w:rFonts w:ascii="Arial" w:hAnsi="Arial" w:cs="Arial"/>
          <w:sz w:val="20"/>
        </w:rPr>
      </w:pPr>
      <w:r>
        <w:rPr>
          <w:rFonts w:eastAsia="Times New Roman" w:cs="Times New Roman" w:ascii="Times New Roman" w:hAnsi="Times New Roman"/>
          <w:b w:val="false"/>
          <w:bCs w:val="false"/>
          <w:i w:val="false"/>
          <w:iCs w:val="false"/>
          <w:color w:val="000000"/>
          <w:sz w:val="22"/>
          <w:szCs w:val="22"/>
          <w:lang w:val="pt-BR" w:eastAsia="pt-BR" w:bidi="ar-SA"/>
        </w:rPr>
        <w:t xml:space="preserve">Fonte: </w:t>
      </w:r>
    </w:p>
    <w:p>
      <w:pPr>
        <w:pStyle w:val="Normal"/>
        <w:spacing w:lineRule="auto" w:line="276" w:before="120" w:after="120"/>
        <w:ind w:left="1134" w:right="0" w:hanging="0"/>
        <w:jc w:val="both"/>
        <w:rPr>
          <w:rFonts w:ascii="Arial" w:hAnsi="Arial" w:cs="Arial"/>
          <w:sz w:val="20"/>
        </w:rPr>
      </w:pPr>
      <w:r>
        <w:rPr>
          <w:rFonts w:eastAsia="Times New Roman" w:cs="Times New Roman" w:ascii="Times New Roman" w:hAnsi="Times New Roman"/>
          <w:b w:val="false"/>
          <w:bCs w:val="false"/>
          <w:i w:val="false"/>
          <w:iCs w:val="false"/>
          <w:color w:val="000000"/>
          <w:sz w:val="22"/>
          <w:szCs w:val="22"/>
          <w:lang w:val="pt-BR" w:eastAsia="pt-BR" w:bidi="ar-SA"/>
        </w:rPr>
        <w:t>Programa de Trabalho:</w:t>
      </w:r>
    </w:p>
    <w:p>
      <w:pPr>
        <w:pStyle w:val="Normal"/>
        <w:spacing w:lineRule="auto" w:line="276" w:before="120" w:after="120"/>
        <w:ind w:left="1134" w:right="0" w:hanging="0"/>
        <w:jc w:val="both"/>
        <w:rPr>
          <w:rFonts w:ascii="Arial" w:hAnsi="Arial" w:cs="Arial"/>
          <w:sz w:val="20"/>
        </w:rPr>
      </w:pPr>
      <w:r>
        <w:rPr>
          <w:rFonts w:eastAsia="Times New Roman" w:cs="Times New Roman" w:ascii="Times New Roman" w:hAnsi="Times New Roman"/>
          <w:b w:val="false"/>
          <w:bCs w:val="false"/>
          <w:i w:val="false"/>
          <w:iCs w:val="false"/>
          <w:color w:val="000000"/>
          <w:sz w:val="22"/>
          <w:szCs w:val="22"/>
          <w:lang w:val="pt-BR" w:eastAsia="pt-BR" w:bidi="ar-SA"/>
        </w:rPr>
        <w:t>Elemento de Despesa:</w:t>
      </w:r>
    </w:p>
    <w:p>
      <w:pPr>
        <w:pStyle w:val="Normal"/>
        <w:spacing w:lineRule="auto" w:line="276" w:before="120" w:after="120"/>
        <w:ind w:left="1134" w:right="0" w:hanging="0"/>
        <w:jc w:val="both"/>
        <w:rPr>
          <w:rFonts w:ascii="Arial" w:hAnsi="Arial" w:cs="Arial"/>
          <w:sz w:val="20"/>
        </w:rPr>
      </w:pPr>
      <w:r>
        <w:rPr>
          <w:rFonts w:eastAsia="Times New Roman" w:cs="Times New Roman" w:ascii="Times New Roman" w:hAnsi="Times New Roman"/>
          <w:b w:val="false"/>
          <w:bCs w:val="false"/>
          <w:i w:val="false"/>
          <w:iCs w:val="false"/>
          <w:color w:val="000000"/>
          <w:sz w:val="22"/>
          <w:szCs w:val="22"/>
          <w:lang w:val="pt-BR" w:eastAsia="pt-BR" w:bidi="ar-SA"/>
        </w:rPr>
        <w:t>PI:</w:t>
      </w:r>
    </w:p>
    <w:p>
      <w:pPr>
        <w:pStyle w:val="Normal"/>
        <w:spacing w:lineRule="auto" w:line="276" w:before="120" w:after="120"/>
        <w:ind w:left="360" w:right="0" w:hanging="0"/>
        <w:jc w:val="both"/>
        <w:rPr>
          <w:rFonts w:ascii="Arial" w:hAnsi="Arial" w:cs="Arial"/>
          <w:b/>
          <w:b/>
          <w:sz w:val="20"/>
          <w:szCs w:val="20"/>
        </w:rPr>
      </w:pPr>
      <w:r>
        <w:rPr>
          <w:rFonts w:eastAsia="Times New Roman" w:cs="Times New Roman" w:ascii="Times New Roman" w:hAnsi="Times New Roman"/>
          <w:b/>
          <w:bCs/>
          <w:i w:val="false"/>
          <w:iCs w:val="false"/>
          <w:color w:val="000000"/>
          <w:sz w:val="22"/>
          <w:szCs w:val="22"/>
          <w:lang w:val="pt-BR" w:eastAsia="pt-BR" w:bidi="ar-SA"/>
        </w:rPr>
        <w:t>5. CLÁUSULA QUINTA – PAGAMENTO</w:t>
      </w:r>
    </w:p>
    <w:p>
      <w:pPr>
        <w:pStyle w:val="Normal"/>
        <w:spacing w:lineRule="auto" w:line="276" w:before="120" w:after="120"/>
        <w:ind w:left="785" w:right="0" w:hanging="0"/>
        <w:jc w:val="both"/>
        <w:rPr>
          <w:rFonts w:ascii="Arial" w:hAnsi="Arial" w:cs="Arial"/>
          <w:sz w:val="20"/>
        </w:rPr>
      </w:pPr>
      <w:r>
        <w:rPr>
          <w:rFonts w:eastAsia="Times New Roman" w:cs="Times New Roman" w:ascii="Times New Roman" w:hAnsi="Times New Roman"/>
          <w:b w:val="false"/>
          <w:bCs w:val="false"/>
          <w:i w:val="false"/>
          <w:iCs w:val="false"/>
          <w:color w:val="000000"/>
          <w:sz w:val="22"/>
          <w:szCs w:val="22"/>
          <w:lang w:val="pt-BR" w:eastAsia="pt-BR" w:bidi="ar-SA"/>
        </w:rPr>
        <w:t>5.1. O prazo para pagamento e demais condições a ele referentes encontram-se no Edital.</w:t>
      </w:r>
    </w:p>
    <w:p>
      <w:pPr>
        <w:pStyle w:val="Normal"/>
        <w:spacing w:lineRule="auto" w:line="276" w:before="120" w:after="120"/>
        <w:ind w:left="425"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lineRule="auto" w:line="276" w:before="120" w:after="120"/>
        <w:ind w:left="36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smallCaps/>
          <w:color w:val="000000"/>
          <w:sz w:val="22"/>
          <w:szCs w:val="22"/>
          <w:lang w:val="pt-BR" w:eastAsia="pt-BR" w:bidi="ar-SA"/>
        </w:rPr>
        <w:t>6. CLÁUSULA SEXTA</w:t>
      </w:r>
      <w:r>
        <w:rPr>
          <w:rFonts w:eastAsia="Times New Roman" w:cs="Times New Roman" w:ascii="Times New Roman" w:hAnsi="Times New Roman"/>
          <w:b/>
          <w:bCs/>
          <w:i w:val="false"/>
          <w:iCs w:val="false"/>
          <w:color w:val="000000"/>
          <w:sz w:val="22"/>
          <w:szCs w:val="22"/>
          <w:lang w:val="pt-BR" w:eastAsia="pt-BR" w:bidi="ar-SA"/>
        </w:rPr>
        <w:t xml:space="preserve"> </w:t>
      </w:r>
      <w:r>
        <w:rPr>
          <w:rFonts w:eastAsia="Times New Roman" w:cs="Times New Roman" w:ascii="Times New Roman" w:hAnsi="Times New Roman"/>
          <w:b/>
          <w:bCs/>
          <w:i w:val="false"/>
          <w:iCs w:val="false"/>
          <w:smallCaps/>
          <w:color w:val="000000"/>
          <w:sz w:val="22"/>
          <w:szCs w:val="22"/>
          <w:lang w:val="pt-BR" w:eastAsia="pt-BR" w:bidi="ar-SA"/>
        </w:rPr>
        <w:t>–</w:t>
      </w:r>
      <w:r>
        <w:rPr>
          <w:rFonts w:eastAsia="Times New Roman" w:cs="Times New Roman" w:ascii="Times New Roman" w:hAnsi="Times New Roman"/>
          <w:b/>
          <w:bCs/>
          <w:i w:val="false"/>
          <w:iCs w:val="false"/>
          <w:color w:val="000000"/>
          <w:sz w:val="22"/>
          <w:szCs w:val="22"/>
          <w:lang w:val="pt-BR" w:eastAsia="pt-BR" w:bidi="ar-SA"/>
        </w:rPr>
        <w:t xml:space="preserve"> REAJUSTE E ALTERAÇÕES</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6.1. O preço contratado é fixo e irreajustável.</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6.2. Eventuais alterações contratuais reger-se-ão pela disciplina do art. 65 da Lei nº 8.666, de 1993.</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6.3. A CONTRATADA é obrigada a aceitar, nas mesmas condições contratuais, os acréscimos ou supressões que se fizerem necessários, até o limite de 25% (vinte e cinco por cento) do valor inicial atualizado do contrato.</w:t>
      </w:r>
    </w:p>
    <w:p>
      <w:pPr>
        <w:pStyle w:val="Normal"/>
        <w:spacing w:lineRule="auto" w:line="276" w:before="120" w:after="120"/>
        <w:ind w:left="1854"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6.3.1. É vedado efetuar acréscimos nos quantitativos fixados pela ata de registro de preços, inclusive o acréscimo de que trata o § 1º do art. 65 da Lei nº 8.666, de 1993.</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6.4. As supressões resultantes de acordo celebrado entre as partes contratantes poderão exceder o limite de 25% (vinte e cinco por cento) do valor inicial atualizado do contrato.</w:t>
      </w:r>
    </w:p>
    <w:p>
      <w:pPr>
        <w:pStyle w:val="Normal"/>
        <w:spacing w:lineRule="auto" w:line="276" w:before="120" w:after="120"/>
        <w:ind w:left="36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lineRule="auto" w:line="276" w:before="120" w:after="120"/>
        <w:ind w:left="360" w:right="0" w:hanging="0"/>
        <w:jc w:val="both"/>
        <w:rPr>
          <w:rFonts w:ascii="Arial" w:hAnsi="Arial" w:cs="Arial"/>
          <w:b/>
          <w:b/>
          <w:sz w:val="20"/>
          <w:szCs w:val="20"/>
        </w:rPr>
      </w:pPr>
      <w:r>
        <w:rPr>
          <w:rFonts w:eastAsia="Times New Roman" w:cs="Times New Roman" w:ascii="Times New Roman" w:hAnsi="Times New Roman"/>
          <w:b/>
          <w:bCs/>
          <w:i w:val="false"/>
          <w:iCs w:val="false"/>
          <w:color w:val="000000"/>
          <w:sz w:val="22"/>
          <w:szCs w:val="22"/>
          <w:lang w:val="pt-BR" w:eastAsia="pt-BR" w:bidi="ar-SA"/>
        </w:rPr>
        <w:t>7. CLÁUSULA SÉTIMA - ENTREGA E RECEBIMENTO DO OBJETO</w:t>
      </w:r>
    </w:p>
    <w:p>
      <w:pPr>
        <w:pStyle w:val="Normal"/>
        <w:spacing w:lineRule="auto" w:line="276" w:before="120" w:after="120"/>
        <w:ind w:left="785" w:right="0" w:hanging="0"/>
        <w:jc w:val="both"/>
        <w:rPr>
          <w:rFonts w:ascii="Arial" w:hAnsi="Arial" w:cs="Arial"/>
          <w:sz w:val="20"/>
        </w:rPr>
      </w:pPr>
      <w:r>
        <w:rPr>
          <w:rFonts w:eastAsia="Times New Roman" w:cs="Times New Roman" w:ascii="Times New Roman" w:hAnsi="Times New Roman"/>
          <w:b w:val="false"/>
          <w:bCs w:val="false"/>
          <w:i w:val="false"/>
          <w:iCs w:val="false"/>
          <w:color w:val="000000"/>
          <w:sz w:val="22"/>
          <w:szCs w:val="22"/>
          <w:lang w:val="pt-BR" w:eastAsia="pt-BR" w:bidi="ar-SA"/>
        </w:rPr>
        <w:t>7.1. As condições de entrega e recebimento do objeto são aquelas previstas no Termo de Referência.</w:t>
      </w:r>
    </w:p>
    <w:p>
      <w:pPr>
        <w:pStyle w:val="Normal"/>
        <w:spacing w:lineRule="auto" w:line="276" w:before="120" w:after="120"/>
        <w:ind w:left="36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8. CLÁUSULA OITAVA - FISCALIZAÇÃO</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8.1. A fiscalização da execução do objeto será efetuada por Comissão/Representante designado pela CONTRATANTE, na forma estabelecida no Termo de Referência.</w:t>
      </w:r>
    </w:p>
    <w:p>
      <w:pPr>
        <w:pStyle w:val="Normal"/>
        <w:spacing w:lineRule="auto" w:line="276" w:before="120" w:after="120"/>
        <w:ind w:left="360" w:right="0" w:hanging="0"/>
        <w:jc w:val="both"/>
        <w:rPr>
          <w:rFonts w:ascii="Arial" w:hAnsi="Arial" w:cs="Arial"/>
          <w:b/>
          <w:b/>
          <w:sz w:val="20"/>
          <w:szCs w:val="20"/>
        </w:rPr>
      </w:pPr>
      <w:r>
        <w:rPr>
          <w:rFonts w:eastAsia="Times New Roman" w:cs="Times New Roman" w:ascii="Times New Roman" w:hAnsi="Times New Roman"/>
          <w:b/>
          <w:bCs/>
          <w:i w:val="false"/>
          <w:iCs w:val="false"/>
          <w:color w:val="000000"/>
          <w:sz w:val="22"/>
          <w:szCs w:val="22"/>
          <w:lang w:val="pt-BR" w:eastAsia="pt-BR" w:bidi="ar-SA"/>
        </w:rPr>
        <w:t>9. CLÁUSULA NONA  – OBRIGAÇÕES DA CONTRATANTE E DA CONTRATADA</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9.1. As obrigações da CONTRATANTE e da CONTRATADA são aquelas previstas no Termo de Referência.</w:t>
      </w:r>
    </w:p>
    <w:p>
      <w:pPr>
        <w:pStyle w:val="Normal"/>
        <w:spacing w:lineRule="auto" w:line="276" w:before="120" w:after="120"/>
        <w:ind w:left="360" w:right="0" w:hanging="0"/>
        <w:jc w:val="both"/>
        <w:rPr>
          <w:rFonts w:ascii="Arial" w:hAnsi="Arial" w:cs="Arial"/>
          <w:b/>
          <w:b/>
          <w:sz w:val="20"/>
          <w:szCs w:val="20"/>
        </w:rPr>
      </w:pPr>
      <w:r>
        <w:rPr>
          <w:rFonts w:eastAsia="Times New Roman" w:cs="Times New Roman" w:ascii="Times New Roman" w:hAnsi="Times New Roman"/>
          <w:b/>
          <w:bCs/>
          <w:i w:val="false"/>
          <w:iCs w:val="false"/>
          <w:color w:val="000000"/>
          <w:sz w:val="22"/>
          <w:szCs w:val="22"/>
          <w:lang w:val="pt-BR" w:eastAsia="pt-BR" w:bidi="ar-SA"/>
        </w:rPr>
        <w:t>10. CLÁUSULA DÉCIMA  – SANÇÕES ADMINISTRATIVAS</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10.1. As sanções referentes à execução do contrato são aquelas previstas no Termo de Referência.</w:t>
      </w:r>
    </w:p>
    <w:p>
      <w:pPr>
        <w:pStyle w:val="Normal"/>
        <w:spacing w:lineRule="auto" w:line="276" w:before="120" w:after="120"/>
        <w:ind w:left="360" w:right="0" w:hanging="0"/>
        <w:jc w:val="both"/>
        <w:rPr>
          <w:rFonts w:ascii="Arial" w:hAnsi="Arial" w:cs="Arial"/>
          <w:b/>
          <w:b/>
          <w:sz w:val="20"/>
          <w:szCs w:val="20"/>
        </w:rPr>
      </w:pPr>
      <w:r>
        <w:rPr>
          <w:rFonts w:eastAsia="Times New Roman" w:cs="Times New Roman" w:ascii="Times New Roman" w:hAnsi="Times New Roman"/>
          <w:b/>
          <w:bCs/>
          <w:i w:val="false"/>
          <w:iCs w:val="false"/>
          <w:color w:val="000000"/>
          <w:sz w:val="22"/>
          <w:szCs w:val="22"/>
          <w:lang w:val="pt-BR" w:eastAsia="pt-BR" w:bidi="ar-SA"/>
        </w:rPr>
        <w:t>11. CLÁUSULA DÉCIMA PRIMEIRA – RESCISÃO</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11.1. O presente Termo de Contrato poderá ser rescindido nas hipóteses previstas no art. 78 da Lei nº 8.666, de 1993, com as consequências indicadas no art. 80 da mesma Lei, sem prejuízo das sanções aplicáveis.</w:t>
      </w:r>
    </w:p>
    <w:p>
      <w:pPr>
        <w:pStyle w:val="Normal"/>
        <w:spacing w:lineRule="auto" w:line="276" w:before="120" w:after="120"/>
        <w:ind w:left="785" w:right="0" w:hanging="0"/>
        <w:jc w:val="both"/>
        <w:rPr>
          <w:rFonts w:ascii="Arial" w:hAnsi="Arial" w:cs="Arial"/>
          <w:sz w:val="20"/>
          <w:szCs w:val="20"/>
          <w:lang w:eastAsia="en-US"/>
        </w:rPr>
      </w:pPr>
      <w:r>
        <w:rPr>
          <w:rFonts w:eastAsia="Times New Roman" w:cs="Times New Roman" w:ascii="Times New Roman" w:hAnsi="Times New Roman"/>
          <w:b w:val="false"/>
          <w:bCs w:val="false"/>
          <w:i w:val="false"/>
          <w:iCs w:val="false"/>
          <w:color w:val="000000"/>
          <w:sz w:val="22"/>
          <w:szCs w:val="22"/>
          <w:lang w:val="pt-BR" w:eastAsia="pt-BR" w:bidi="ar-SA"/>
        </w:rPr>
        <w:t>11.2.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11.3. Os casos de rescisão contratual serão formalmente motivados, assegurando-se à CONTRATADA o direito à prévia e ampla defesa.</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11.4. A CONTRATADA reconhece os direitos da CONTRATANTE em caso de rescisão administrativa prevista no art. 77 da Lei nº 8.666, de 1993.</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11.5. O termo de rescisão será precedido de Relatório indicativo dos seguintes aspectos, conforme o caso:</w:t>
      </w:r>
    </w:p>
    <w:p>
      <w:pPr>
        <w:pStyle w:val="Normal"/>
        <w:spacing w:lineRule="auto" w:line="276" w:before="120" w:after="120"/>
        <w:ind w:left="1854"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11.5.1.  Balanço dos eventos contratuais já cumpridos ou parcialmente cumpridos;</w:t>
      </w:r>
    </w:p>
    <w:p>
      <w:pPr>
        <w:pStyle w:val="Normal"/>
        <w:spacing w:lineRule="auto" w:line="276" w:before="120" w:after="120"/>
        <w:ind w:left="1854"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11.5.2.  Relação dos pagamentos já efetuados e ainda devidos;</w:t>
      </w:r>
    </w:p>
    <w:p>
      <w:pPr>
        <w:pStyle w:val="Normal"/>
        <w:spacing w:lineRule="auto" w:line="276" w:before="120" w:after="120"/>
        <w:ind w:left="1854"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11.5.3. Indenizações e multas.</w:t>
      </w:r>
    </w:p>
    <w:p>
      <w:pPr>
        <w:pStyle w:val="Normal"/>
        <w:spacing w:lineRule="auto" w:line="276" w:before="120" w:after="120"/>
        <w:ind w:left="360" w:right="0" w:hanging="0"/>
        <w:jc w:val="both"/>
        <w:rPr>
          <w:rFonts w:ascii="Arial" w:hAnsi="Arial" w:cs="Arial"/>
          <w:b/>
          <w:b/>
          <w:sz w:val="20"/>
          <w:szCs w:val="20"/>
        </w:rPr>
      </w:pPr>
      <w:r>
        <w:rPr>
          <w:rFonts w:eastAsia="Times New Roman" w:cs="Times New Roman" w:ascii="Times New Roman" w:hAnsi="Times New Roman"/>
          <w:b/>
          <w:bCs/>
          <w:i w:val="false"/>
          <w:iCs w:val="false"/>
          <w:color w:val="000000"/>
          <w:sz w:val="22"/>
          <w:szCs w:val="22"/>
          <w:lang w:val="pt-BR" w:eastAsia="pt-BR" w:bidi="ar-SA"/>
        </w:rPr>
        <w:t>12. CLÁUSULA DÉCIMA SEGUNDA– VEDAÇÕES</w:t>
      </w:r>
    </w:p>
    <w:p>
      <w:pPr>
        <w:pStyle w:val="Normal"/>
        <w:spacing w:lineRule="auto" w:line="276" w:before="120" w:after="120"/>
        <w:ind w:left="785"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12.1. É vedado à CONTRATADA:</w:t>
      </w:r>
    </w:p>
    <w:p>
      <w:pPr>
        <w:pStyle w:val="Normal"/>
        <w:spacing w:lineRule="auto" w:line="276" w:before="120" w:after="120"/>
        <w:ind w:left="1854"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12.1.1. caucionar ou utilizar este Termo de Contrato para qualquer operação financeira;</w:t>
      </w:r>
    </w:p>
    <w:p>
      <w:pPr>
        <w:pStyle w:val="Normal"/>
        <w:spacing w:lineRule="auto" w:line="276" w:before="120" w:after="120"/>
        <w:ind w:left="1854"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12.1.2. interromper a execução contratual sob alegação de inadimplemento por parte da CONTRATANTE, salvo nos casos previstos em lei.</w:t>
      </w:r>
    </w:p>
    <w:p>
      <w:pPr>
        <w:pStyle w:val="Normal"/>
        <w:spacing w:lineRule="auto" w:line="276" w:before="120" w:after="120"/>
        <w:ind w:left="360" w:right="0" w:hanging="0"/>
        <w:jc w:val="both"/>
        <w:rPr>
          <w:rFonts w:ascii="Arial" w:hAnsi="Arial" w:cs="Arial"/>
          <w:b/>
          <w:b/>
          <w:sz w:val="20"/>
          <w:szCs w:val="20"/>
        </w:rPr>
      </w:pPr>
      <w:r>
        <w:rPr>
          <w:rFonts w:eastAsia="Times New Roman" w:cs="Times New Roman" w:ascii="Times New Roman" w:hAnsi="Times New Roman"/>
          <w:b/>
          <w:bCs/>
          <w:i w:val="false"/>
          <w:iCs w:val="false"/>
          <w:color w:val="000000"/>
          <w:sz w:val="22"/>
          <w:szCs w:val="22"/>
          <w:lang w:val="pt-BR" w:eastAsia="pt-BR" w:bidi="ar-SA"/>
        </w:rPr>
        <w:t>13. CLÁUSULA DÉCIMA TERCEIRA – DOS CASOS OMISSOS.</w:t>
      </w:r>
    </w:p>
    <w:p>
      <w:pPr>
        <w:pStyle w:val="Normal"/>
        <w:numPr>
          <w:ilvl w:val="0"/>
          <w:numId w:val="0"/>
        </w:numPr>
        <w:spacing w:lineRule="auto" w:line="276" w:before="120" w:after="120"/>
        <w:ind w:left="1566"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 xml:space="preserve">13.1 </w:t>
      </w:r>
      <w:r>
        <w:rPr>
          <w:rFonts w:eastAsia="Times New Roman" w:cs="Times New Roman" w:ascii="Times New Roman" w:hAnsi="Times New Roman"/>
          <w:b w:val="false"/>
          <w:bCs w:val="false"/>
          <w:i w:val="false"/>
          <w:iCs w:val="false"/>
          <w:color w:val="000000"/>
          <w:sz w:val="22"/>
          <w:szCs w:val="22"/>
          <w:lang w:val="pt-BR" w:eastAsia="pt-BR" w:bidi="ar-SA"/>
        </w:rPr>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pPr>
        <w:pStyle w:val="Normal"/>
        <w:numPr>
          <w:ilvl w:val="0"/>
          <w:numId w:val="0"/>
        </w:numPr>
        <w:spacing w:lineRule="auto" w:line="276" w:before="120" w:after="120"/>
        <w:ind w:left="36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14 </w:t>
      </w:r>
      <w:r>
        <w:rPr>
          <w:rFonts w:eastAsia="Times New Roman" w:cs="Times New Roman" w:ascii="Times New Roman" w:hAnsi="Times New Roman"/>
          <w:b/>
          <w:bCs/>
          <w:i w:val="false"/>
          <w:iCs w:val="false"/>
          <w:color w:val="000000"/>
          <w:sz w:val="22"/>
          <w:szCs w:val="22"/>
          <w:lang w:val="pt-BR" w:eastAsia="pt-BR" w:bidi="ar-SA"/>
        </w:rPr>
        <w:t>CLÁUSULA DÉCIMA QU</w:t>
      </w:r>
      <w:r>
        <w:rPr>
          <w:rFonts w:eastAsia="Times New Roman" w:cs="Times New Roman" w:ascii="Times New Roman" w:hAnsi="Times New Roman"/>
          <w:b/>
          <w:bCs/>
          <w:i w:val="false"/>
          <w:iCs w:val="false"/>
          <w:color w:val="000000"/>
          <w:sz w:val="22"/>
          <w:szCs w:val="22"/>
          <w:lang w:val="pt-BR" w:eastAsia="pt-BR" w:bidi="ar-SA"/>
        </w:rPr>
        <w:t xml:space="preserve">ARTA </w:t>
      </w:r>
      <w:r>
        <w:rPr>
          <w:rFonts w:eastAsia="Times New Roman" w:cs="Times New Roman" w:ascii="Times New Roman" w:hAnsi="Times New Roman"/>
          <w:b/>
          <w:bCs/>
          <w:i w:val="false"/>
          <w:iCs w:val="false"/>
          <w:color w:val="000000"/>
          <w:sz w:val="22"/>
          <w:szCs w:val="22"/>
          <w:lang w:val="pt-BR" w:eastAsia="pt-BR" w:bidi="ar-SA"/>
        </w:rPr>
        <w:t xml:space="preserve"> – PUBLICAÇÃO</w:t>
      </w:r>
    </w:p>
    <w:p>
      <w:pPr>
        <w:pStyle w:val="Normal"/>
        <w:numPr>
          <w:ilvl w:val="0"/>
          <w:numId w:val="0"/>
        </w:numPr>
        <w:spacing w:lineRule="auto" w:line="276" w:before="120" w:after="120"/>
        <w:ind w:left="1566"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 xml:space="preserve">14.1 </w:t>
      </w:r>
      <w:r>
        <w:rPr>
          <w:rFonts w:eastAsia="Times New Roman" w:cs="Times New Roman" w:ascii="Times New Roman" w:hAnsi="Times New Roman"/>
          <w:b w:val="false"/>
          <w:bCs w:val="false"/>
          <w:i w:val="false"/>
          <w:iCs w:val="false"/>
          <w:color w:val="000000"/>
          <w:sz w:val="22"/>
          <w:szCs w:val="22"/>
          <w:lang w:val="pt-BR" w:eastAsia="pt-BR" w:bidi="ar-SA"/>
        </w:rPr>
        <w:t>Incumbirá à CONTRATANTE providenciar a publicação deste instrumento, por extrato, no Diário Oficial da União, no prazo previsto na Lei nº 8.666, de 1993.</w:t>
      </w:r>
    </w:p>
    <w:p>
      <w:pPr>
        <w:pStyle w:val="Normal"/>
        <w:numPr>
          <w:ilvl w:val="0"/>
          <w:numId w:val="0"/>
        </w:numPr>
        <w:spacing w:lineRule="auto" w:line="276" w:before="120" w:after="120"/>
        <w:ind w:left="36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15. </w:t>
      </w:r>
      <w:r>
        <w:rPr>
          <w:rFonts w:eastAsia="Times New Roman" w:cs="Times New Roman" w:ascii="Times New Roman" w:hAnsi="Times New Roman"/>
          <w:b/>
          <w:bCs/>
          <w:i w:val="false"/>
          <w:iCs w:val="false"/>
          <w:color w:val="000000"/>
          <w:sz w:val="22"/>
          <w:szCs w:val="22"/>
          <w:lang w:val="pt-BR" w:eastAsia="pt-BR" w:bidi="ar-SA"/>
        </w:rPr>
        <w:t xml:space="preserve">CLÁUSULA DÉCIMA </w:t>
      </w:r>
      <w:r>
        <w:rPr>
          <w:rFonts w:eastAsia="Times New Roman" w:cs="Times New Roman" w:ascii="Times New Roman" w:hAnsi="Times New Roman"/>
          <w:b/>
          <w:bCs/>
          <w:i w:val="false"/>
          <w:iCs w:val="false"/>
          <w:color w:val="000000"/>
          <w:sz w:val="22"/>
          <w:szCs w:val="22"/>
          <w:lang w:val="pt-BR" w:eastAsia="pt-BR" w:bidi="ar-SA"/>
        </w:rPr>
        <w:t>QUINTA</w:t>
      </w:r>
      <w:r>
        <w:rPr>
          <w:rFonts w:eastAsia="Times New Roman" w:cs="Times New Roman" w:ascii="Times New Roman" w:hAnsi="Times New Roman"/>
          <w:b/>
          <w:bCs/>
          <w:i w:val="false"/>
          <w:iCs w:val="false"/>
          <w:color w:val="000000"/>
          <w:sz w:val="22"/>
          <w:szCs w:val="22"/>
          <w:lang w:val="pt-BR" w:eastAsia="pt-BR" w:bidi="ar-SA"/>
        </w:rPr>
        <w:t xml:space="preserve"> – FORO</w:t>
      </w:r>
    </w:p>
    <w:p>
      <w:pPr>
        <w:pStyle w:val="Normal"/>
        <w:numPr>
          <w:ilvl w:val="0"/>
          <w:numId w:val="0"/>
        </w:numPr>
        <w:spacing w:lineRule="auto" w:line="276" w:before="120" w:after="120"/>
        <w:ind w:left="1141"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15.1 </w:t>
      </w:r>
      <w:r>
        <w:rPr>
          <w:rFonts w:eastAsia="Times New Roman" w:cs="Times New Roman" w:ascii="Times New Roman" w:hAnsi="Times New Roman"/>
          <w:b w:val="false"/>
          <w:bCs w:val="false"/>
          <w:i w:val="false"/>
          <w:iCs w:val="false"/>
          <w:color w:val="000000"/>
          <w:sz w:val="22"/>
          <w:szCs w:val="22"/>
          <w:lang w:val="pt-BR" w:eastAsia="pt-BR" w:bidi="ar-SA"/>
        </w:rPr>
        <w:t xml:space="preserve">É eleito o Foro </w:t>
      </w:r>
      <w:r>
        <w:rPr>
          <w:rStyle w:val="Fontepare1gpadre3o"/>
          <w:rFonts w:eastAsia="Times New Roman" w:cs="Times New Roman" w:ascii="Times New Roman" w:hAnsi="Times New Roman"/>
          <w:b w:val="false"/>
          <w:bCs w:val="false"/>
          <w:i w:val="false"/>
          <w:iCs w:val="false"/>
          <w:color w:val="000000"/>
          <w:sz w:val="22"/>
          <w:szCs w:val="22"/>
          <w:lang w:val="pt-BR" w:eastAsia="pt-BR" w:bidi="ar-SA"/>
        </w:rPr>
        <w:t>da Justiça Federal, Seção Judiciária de Pernambuco, Subseção Judiciária de Petrolina</w:t>
      </w:r>
      <w:r>
        <w:rPr>
          <w:rFonts w:eastAsia="Times New Roman" w:cs="Times New Roman" w:ascii="Times New Roman" w:hAnsi="Times New Roman"/>
          <w:b w:val="false"/>
          <w:bCs w:val="false"/>
          <w:i w:val="false"/>
          <w:iCs w:val="false"/>
          <w:color w:val="000000"/>
          <w:sz w:val="22"/>
          <w:szCs w:val="22"/>
          <w:lang w:val="pt-BR" w:eastAsia="pt-BR" w:bidi="ar-SA"/>
        </w:rPr>
        <w:t xml:space="preserve"> para dirimir os litígios que decorrerem da execução deste Termo de Contrato que não possam ser compostos pela conciliação, conforme art. 55, §2º da Lei nº 8.666/93. </w:t>
      </w:r>
    </w:p>
    <w:p>
      <w:pPr>
        <w:pStyle w:val="Normal"/>
        <w:spacing w:lineRule="auto" w:line="360" w:before="0" w:after="120"/>
        <w:ind w:left="0" w:right="-15" w:firstLine="54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lineRule="auto" w:line="276" w:before="120" w:after="12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 xml:space="preserve">Para firmeza e validade do pactuado, o presente Termo de Contrato foi lavrado em duas (duas) vias de igual teor, que, depois de lido e achado em ordem, vai assinado pelos contraentes. </w:t>
      </w:r>
    </w:p>
    <w:p>
      <w:pPr>
        <w:pStyle w:val="Normal"/>
        <w:spacing w:lineRule="auto" w:line="360" w:before="0" w:after="120"/>
        <w:ind w:left="0" w:right="-15"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  .......... de.......................................... de 20.....</w:t>
      </w:r>
    </w:p>
    <w:p>
      <w:pPr>
        <w:pStyle w:val="Normal"/>
        <w:spacing w:before="0" w:after="12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before="0" w:after="120"/>
        <w:jc w:val="center"/>
        <w:rPr>
          <w:rFonts w:ascii="Arial" w:hAnsi="Arial" w:cs="Arial"/>
          <w:bCs/>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_________________________</w:t>
      </w:r>
    </w:p>
    <w:p>
      <w:pPr>
        <w:pStyle w:val="Normal"/>
        <w:spacing w:before="0" w:after="120"/>
        <w:jc w:val="center"/>
        <w:rPr>
          <w:rFonts w:ascii="Arial" w:hAnsi="Arial" w:cs="Arial"/>
          <w:bCs/>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Responsável legal da CONTRATANTE</w:t>
      </w:r>
    </w:p>
    <w:p>
      <w:pPr>
        <w:pStyle w:val="Normal"/>
        <w:spacing w:before="0" w:after="120"/>
        <w:jc w:val="center"/>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_________________________</w:t>
      </w:r>
    </w:p>
    <w:p>
      <w:pPr>
        <w:pStyle w:val="Normal"/>
        <w:spacing w:before="0" w:after="120"/>
        <w:jc w:val="center"/>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Responsável legal da CONTRATADA</w:t>
      </w:r>
    </w:p>
    <w:p>
      <w:pPr>
        <w:pStyle w:val="Normal"/>
        <w:spacing w:before="0" w:after="12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TESTEMUNHAS:</w:t>
      </w:r>
    </w:p>
    <w:p>
      <w:pPr>
        <w:pStyle w:val="Normal"/>
        <w:spacing w:before="0" w:after="12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before="0" w:after="12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1-</w:t>
      </w:r>
    </w:p>
    <w:p>
      <w:pPr>
        <w:pStyle w:val="Normal"/>
        <w:spacing w:before="0" w:after="12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 xml:space="preserve">2- </w:t>
      </w:r>
    </w:p>
    <w:p>
      <w:pPr>
        <w:pStyle w:val="Normal"/>
        <w:spacing w:before="0" w:after="12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before="0" w:after="12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before="0" w:after="12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widowControl w:val="false"/>
        <w:spacing w:lineRule="atLeast" w:line="200" w:before="0" w:after="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sectPr>
      <w:headerReference w:type="even" r:id="rId8"/>
      <w:headerReference w:type="default" r:id="rId9"/>
      <w:footerReference w:type="even" r:id="rId10"/>
      <w:footerReference w:type="default" r:id="rId11"/>
      <w:type w:val="nextPage"/>
      <w:pgSz w:w="11906" w:h="16838"/>
      <w:pgMar w:left="1701" w:right="1134" w:header="0" w:top="1418" w:footer="1418" w:bottom="2115"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swiss"/>
    <w:pitch w:val="variable"/>
  </w:font>
  <w:font w:name="Times New Roman">
    <w:charset w:val="00"/>
    <w:family w:val="swiss"/>
    <w:pitch w:val="variable"/>
  </w:font>
  <w:font w:name="Tahoma">
    <w:charset w:val="00"/>
    <w:family w:val="roman"/>
    <w:pitch w:val="variable"/>
  </w:font>
  <w:font w:name="Arial">
    <w:charset w:val="00"/>
    <w:family w:val="roman"/>
    <w:pitch w:val="variable"/>
  </w:font>
  <w:font w:name="Ecofont_Spranq_eco_Sans">
    <w:charset w:val="00"/>
    <w:family w:val="roman"/>
    <w:pitch w:val="variable"/>
  </w:font>
  <w:font w:name="Cambria">
    <w:charset w:val="00"/>
    <w:family w:val="roman"/>
    <w:pitch w:val="variable"/>
  </w:font>
  <w:font w:name="OpenSymbol">
    <w:altName w:val="Arial Unicode MS"/>
    <w:charset w:val="00"/>
    <w:family w:val="roman"/>
    <w:pitch w:val="variable"/>
  </w:font>
  <w:font w:name="Symbol">
    <w:charset w:val="00"/>
    <w:family w:val="roman"/>
    <w:pitch w:val="variable"/>
  </w:font>
  <w:font w:name="Wingdings 2">
    <w:charset w:val="00"/>
    <w:family w:val="roman"/>
    <w:pitch w:val="variable"/>
  </w:font>
  <w:font w:name="Courier New">
    <w:charset w:val="00"/>
    <w:family w:val="roman"/>
    <w:pitch w:val="variable"/>
  </w:font>
  <w:font w:name="Wingdings">
    <w:charset w:val="00"/>
    <w:family w:val="roman"/>
    <w:pitch w:val="variable"/>
  </w:font>
  <w:font w:name="Calibri Light">
    <w:charset w:val="00"/>
    <w:family w:val="roman"/>
    <w:pitch w:val="variable"/>
  </w:font>
  <w:font w:name="Liberation Sans">
    <w:altName w:val="Arial"/>
    <w:charset w:val="00"/>
    <w:family w:val="roman"/>
    <w:pitch w:val="variable"/>
  </w:font>
  <w:font w:name="Ecofont_Spranq_eco_Sans">
    <w:charset w:val="00"/>
    <w:family w:val="swiss"/>
    <w:pitch w:val="variable"/>
  </w:font>
  <w:font w:name="Arial Narrow">
    <w:charset w:val="00"/>
    <w:family w:val="roman"/>
    <w:pitch w:val="variable"/>
  </w:font>
  <w:font w:name="Arial">
    <w:altName w:val="sans-serif"/>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both"/>
      <w:rPr>
        <w:sz w:val="14"/>
        <w:szCs w:val="14"/>
      </w:rPr>
    </w:pPr>
    <w:r>
      <w:rPr>
        <w:rFonts w:cs="Arial" w:ascii="Arial" w:hAnsi="Arial"/>
        <w:sz w:val="14"/>
        <w:szCs w:val="14"/>
      </w:rPr>
      <w:t>Comissão Permanente de Atualização de Editais da Consultoria-Geral da União</w:t>
    </w:r>
  </w:p>
  <w:p>
    <w:pPr>
      <w:pStyle w:val="Rodap"/>
      <w:jc w:val="both"/>
      <w:rPr>
        <w:sz w:val="14"/>
        <w:szCs w:val="14"/>
      </w:rPr>
    </w:pPr>
    <w:r>
      <w:rPr>
        <w:rFonts w:cs="Arial" w:ascii="Arial" w:hAnsi="Arial"/>
        <w:sz w:val="14"/>
        <w:szCs w:val="14"/>
      </w:rPr>
      <w:t>Edital modelo para Pregão Eletrônico SRP: Compras - Habilitação Simplificada – Híbrido - 140</w:t>
    </w:r>
  </w:p>
  <w:p>
    <w:pPr>
      <w:pStyle w:val="Rodap"/>
      <w:jc w:val="both"/>
      <w:rPr>
        <w:sz w:val="14"/>
        <w:szCs w:val="14"/>
      </w:rPr>
    </w:pPr>
    <w:r>
      <w:rPr>
        <w:rFonts w:cs="Arial" w:ascii="Arial" w:hAnsi="Arial"/>
        <w:sz w:val="14"/>
        <w:szCs w:val="14"/>
      </w:rPr>
      <w:t>Atualização:  Maio/2017</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Arial" w:hAnsi="Arial" w:cs="Arial"/>
        <w:sz w:val="12"/>
        <w:szCs w:val="12"/>
      </w:rPr>
    </w:pPr>
    <w:r>
      <w:rPr>
        <w:rFonts w:cs="Arial" w:ascii="Arial" w:hAnsi="Arial"/>
        <w:sz w:val="14"/>
        <w:szCs w:val="14"/>
      </w:rPr>
      <w:t>Comissão Permanente de Atualização de Editais da Consultoria-Geral da União</w:t>
    </w:r>
  </w:p>
  <w:p>
    <w:pPr>
      <w:pStyle w:val="Rodap"/>
      <w:rPr>
        <w:rFonts w:ascii="Arial" w:hAnsi="Arial" w:cs="Arial"/>
        <w:sz w:val="12"/>
        <w:szCs w:val="12"/>
      </w:rPr>
    </w:pPr>
    <w:r>
      <w:rPr>
        <w:rFonts w:cs="Arial" w:ascii="Arial" w:hAnsi="Arial"/>
        <w:sz w:val="14"/>
        <w:szCs w:val="14"/>
      </w:rPr>
      <w:t>Edital modelo para Pregão Eletrônico SRP: Compras - Habilitação Simplificada – Híbrido - 140</w:t>
    </w:r>
  </w:p>
  <w:p>
    <w:pPr>
      <w:pStyle w:val="Rodap"/>
      <w:rPr>
        <w:rFonts w:ascii="Arial" w:hAnsi="Arial" w:cs="Arial"/>
        <w:sz w:val="12"/>
        <w:szCs w:val="12"/>
      </w:rPr>
    </w:pPr>
    <w:r>
      <w:rPr>
        <w:rFonts w:cs="Arial" w:ascii="Arial" w:hAnsi="Arial"/>
        <w:sz w:val="14"/>
        <w:szCs w:val="14"/>
      </w:rPr>
      <w:t>Atualização:  Maio/2017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drawing>
        <wp:anchor behindDoc="1" distT="0" distB="0" distL="0" distR="0" simplePos="0" locked="0" layoutInCell="1" allowOverlap="1" relativeHeight="285">
          <wp:simplePos x="0" y="0"/>
          <wp:positionH relativeFrom="column">
            <wp:posOffset>2447290</wp:posOffset>
          </wp:positionH>
          <wp:positionV relativeFrom="paragraph">
            <wp:posOffset>66675</wp:posOffset>
          </wp:positionV>
          <wp:extent cx="743585" cy="465455"/>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43585" cy="465455"/>
                  </a:xfrm>
                  <a:prstGeom prst="rect">
                    <a:avLst/>
                  </a:prstGeom>
                </pic:spPr>
              </pic:pic>
            </a:graphicData>
          </a:graphic>
        </wp:anchor>
      </w:drawing>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r>
  </w:p>
  <w:p>
    <w:pPr>
      <w:pStyle w:val="LONormal"/>
      <w:widowControl w:val="false"/>
      <w:suppressAutoHyphens w:val="true"/>
      <w:bidi w:val="0"/>
      <w:ind w:left="0" w:right="0" w:hanging="0"/>
      <w:jc w:val="center"/>
      <w:textAlignment w:val="baseline"/>
      <w:rPr/>
    </w:pPr>
    <w:r>
      <w:rPr>
        <w:rStyle w:val="Fontepare1gpadre3o"/>
        <w:rFonts w:eastAsia="Times New Roman" w:cs="Times New Roman" w:ascii="Times New Roman" w:hAnsi="Times New Roman"/>
        <w:b/>
        <w:color w:val="000000"/>
        <w:sz w:val="16"/>
        <w:szCs w:val="16"/>
        <w:lang w:val="pt-BR" w:eastAsia="hi-IN"/>
      </w:rPr>
      <w:t xml:space="preserve">MINISTÉRIO DA EDUCAÇÃO  - </w:t>
    </w:r>
    <w:r>
      <w:rPr>
        <w:rFonts w:eastAsia="Times New Roman" w:cs="Times New Roman" w:ascii="Times New Roman" w:hAnsi="Times New Roman"/>
        <w:b/>
        <w:color w:val="000000"/>
        <w:sz w:val="16"/>
        <w:szCs w:val="16"/>
        <w:lang w:val="pt-BR" w:eastAsia="hi-IN"/>
      </w:rPr>
      <w:t xml:space="preserve">SERVIÇO PÚBLICO FEDERAL </w:t>
    </w:r>
  </w:p>
  <w:p>
    <w:pPr>
      <w:pStyle w:val="LONormal"/>
      <w:widowControl w:val="false"/>
      <w:suppressAutoHyphens w:val="true"/>
      <w:bidi w:val="0"/>
      <w:ind w:left="0" w:right="0" w:hanging="0"/>
      <w:jc w:val="center"/>
      <w:textAlignment w:val="baseline"/>
      <w:rPr/>
    </w:pPr>
    <w:r>
      <w:rPr>
        <w:rFonts w:eastAsia="Times New Roman" w:cs="Times New Roman" w:ascii="Times New Roman" w:hAnsi="Times New Roman"/>
        <w:b/>
        <w:color w:val="000000"/>
        <w:sz w:val="16"/>
        <w:szCs w:val="16"/>
        <w:lang w:val="pt-BR" w:eastAsia="hi-IN"/>
      </w:rPr>
      <w:t xml:space="preserve"> </w:t>
    </w:r>
    <w:r>
      <w:rPr>
        <w:rFonts w:eastAsia="Times New Roman" w:cs="Times New Roman" w:ascii="Times New Roman" w:hAnsi="Times New Roman"/>
        <w:b/>
        <w:color w:val="000000"/>
        <w:sz w:val="16"/>
        <w:szCs w:val="16"/>
        <w:lang w:val="pt-BR" w:eastAsia="hi-IN"/>
      </w:rPr>
      <w:t xml:space="preserve">SECRETARIA DE EDUCAÇÃO PROFISSIONAL E TECNOLÓGICA </w:t>
    </w:r>
  </w:p>
  <w:p>
    <w:pPr>
      <w:pStyle w:val="LONormal"/>
      <w:widowControl w:val="false"/>
      <w:suppressAutoHyphens w:val="true"/>
      <w:bidi w:val="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rPr>
      <w:t xml:space="preserve">INSTITUTO FEDERAL DE EDUCAÇÃO, CIÊNCIAS E TECNOLOGIA DO SERTÃO PERNAMBUCANO </w:t>
    </w:r>
  </w:p>
  <w:p>
    <w:pPr>
      <w:pStyle w:val="Normal"/>
      <w:widowControl w:val="false"/>
      <w:tabs>
        <w:tab w:val="center" w:pos="11737" w:leader="none"/>
      </w:tabs>
      <w:suppressAutoHyphens w:val="true"/>
      <w:bidi w:val="0"/>
      <w:spacing w:before="0" w:after="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bidi="ar-SA"/>
      </w:rPr>
      <w:t>REITORIA / PROAD /DLIC/ CLIC</w:t>
    </w:r>
  </w:p>
  <w:p>
    <w:pPr>
      <w:pStyle w:val="LONormal"/>
      <w:widowControl w:val="false"/>
      <w:tabs>
        <w:tab w:val="center" w:pos="11737" w:leader="none"/>
      </w:tabs>
      <w:suppressAutoHyphens w:val="true"/>
      <w:bidi w:val="0"/>
      <w:spacing w:before="0" w:after="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bidi="ar-SA"/>
      </w:rPr>
      <w:t>EQUIPE DE APOIO AO PREGOEIRO</w:t>
    </w:r>
  </w:p>
  <w:p>
    <w:pPr>
      <w:pStyle w:val="Normal"/>
      <w:widowControl w:val="false"/>
      <w:tabs>
        <w:tab w:val="center" w:pos="11737" w:leader="none"/>
      </w:tabs>
      <w:suppressAutoHyphens w:val="true"/>
      <w:bidi w:val="0"/>
      <w:spacing w:lineRule="auto" w:line="240" w:before="0" w:after="0"/>
      <w:ind w:left="0" w:right="227" w:hanging="0"/>
      <w:jc w:val="center"/>
      <w:textAlignment w:val="baseline"/>
      <w:rPr/>
    </w:pPr>
    <w:r>
      <w:rPr>
        <w:rFonts w:eastAsia="Times New Roman" w:cs="Times New Roman" w:ascii="Times New Roman" w:hAnsi="Times New Roman"/>
        <w:b w:val="false"/>
        <w:bCs w:val="false"/>
        <w:color w:val="000000"/>
        <w:sz w:val="16"/>
        <w:szCs w:val="16"/>
        <w:lang w:val="pt-BR" w:eastAsia="hi-IN"/>
      </w:rPr>
      <w:t xml:space="preserve">Endereço: </w:t>
    </w:r>
    <w:r>
      <w:rPr>
        <w:rStyle w:val="Fontepargpadro1"/>
        <w:rFonts w:eastAsia="Times New Roman" w:cs="Arial" w:ascii="Times New Roman" w:hAnsi="Times New Roman"/>
        <w:b w:val="false"/>
        <w:bCs w:val="false"/>
        <w:iCs/>
        <w:color w:val="000000"/>
        <w:spacing w:val="0"/>
        <w:sz w:val="16"/>
        <w:szCs w:val="16"/>
        <w:u w:val="none"/>
        <w:lang w:val="pt-BR" w:eastAsia="pt-BR" w:bidi="ar-SA"/>
      </w:rPr>
      <w:t>Rua Aristarco Lopes, 240, Centro, Petrolina-PE</w:t>
    </w:r>
    <w:r>
      <w:rPr>
        <w:rStyle w:val="Fontepargpadro"/>
        <w:rFonts w:eastAsia="Arial" w:cs="Arial" w:ascii="Times New Roman" w:hAnsi="Times New Roman"/>
        <w:b w:val="false"/>
        <w:bCs w:val="false"/>
        <w:color w:val="000000"/>
        <w:spacing w:val="0"/>
        <w:sz w:val="16"/>
        <w:szCs w:val="16"/>
        <w:u w:val="none"/>
        <w:lang w:val="pt-BR" w:eastAsia="hi-IN"/>
      </w:rPr>
      <w:t>, CEP: 56302100. TEL/FAX: (87) 2101-2350.</w:t>
    </w:r>
  </w:p>
  <w:p>
    <w:pPr>
      <w:pStyle w:val="Normal"/>
      <w:widowControl w:val="false"/>
      <w:tabs>
        <w:tab w:val="center" w:pos="11737" w:leader="none"/>
      </w:tabs>
      <w:suppressAutoHyphens w:val="true"/>
      <w:bidi w:val="0"/>
      <w:spacing w:lineRule="auto" w:line="240" w:before="0" w:after="0"/>
      <w:ind w:left="0" w:right="227" w:hanging="0"/>
      <w:jc w:val="center"/>
      <w:textAlignment w:val="baseline"/>
      <w:rPr/>
    </w:pPr>
    <w:r>
      <mc:AlternateContent>
        <mc:Choice Requires="wps">
          <w:drawing>
            <wp:anchor behindDoc="1" distT="0" distB="0" distL="0" distR="0" simplePos="0" locked="0" layoutInCell="1" allowOverlap="1" relativeHeight="205">
              <wp:simplePos x="0" y="0"/>
              <wp:positionH relativeFrom="column">
                <wp:posOffset>0</wp:posOffset>
              </wp:positionH>
              <wp:positionV relativeFrom="paragraph">
                <wp:posOffset>107315</wp:posOffset>
              </wp:positionV>
              <wp:extent cx="412115" cy="223520"/>
              <wp:effectExtent l="0" t="0" r="0" b="0"/>
              <wp:wrapTopAndBottom/>
              <wp:docPr id="2" name="Quadro1"/>
              <a:graphic xmlns:a="http://schemas.openxmlformats.org/drawingml/2006/main">
                <a:graphicData uri="http://schemas.microsoft.com/office/word/2010/wordprocessingShape">
                  <wps:wsp>
                    <wps:cNvSpPr/>
                    <wps:spPr>
                      <a:xfrm>
                        <a:off x="0" y="0"/>
                        <a:ext cx="411480" cy="222840"/>
                      </a:xfrm>
                      <a:prstGeom prst="rect">
                        <a:avLst/>
                      </a:prstGeom>
                      <a:noFill/>
                      <a:ln>
                        <a:noFill/>
                      </a:ln>
                    </wps:spPr>
                    <wps:style>
                      <a:lnRef idx="0"/>
                      <a:fillRef idx="0"/>
                      <a:effectRef idx="0"/>
                      <a:fontRef idx="minor"/>
                    </wps:style>
                    <wps:bodyPr/>
                  </wps:wsp>
                </a:graphicData>
              </a:graphic>
            </wp:anchor>
          </w:drawing>
        </mc:Choice>
        <mc:Fallback>
          <w:pict>
            <v:rect id="shape_0" ID="Quadro1" stroked="f" style="position:absolute;margin-left:0pt;margin-top:8.45pt;width:32.35pt;height:17.5pt">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245">
              <wp:simplePos x="0" y="0"/>
              <wp:positionH relativeFrom="column">
                <wp:posOffset>0</wp:posOffset>
              </wp:positionH>
              <wp:positionV relativeFrom="paragraph">
                <wp:posOffset>107315</wp:posOffset>
              </wp:positionV>
              <wp:extent cx="412115" cy="223520"/>
              <wp:effectExtent l="0" t="0" r="0" b="0"/>
              <wp:wrapNone/>
              <wp:docPr id="3" name="Quadro2"/>
              <a:graphic xmlns:a="http://schemas.openxmlformats.org/drawingml/2006/main">
                <a:graphicData uri="http://schemas.microsoft.com/office/word/2010/wordprocessingShape">
                  <wps:wsp>
                    <wps:cNvSpPr/>
                    <wps:spPr>
                      <a:xfrm>
                        <a:off x="0" y="0"/>
                        <a:ext cx="411480" cy="222840"/>
                      </a:xfrm>
                      <a:prstGeom prst="rect">
                        <a:avLst/>
                      </a:prstGeom>
                      <a:noFill/>
                      <a:ln>
                        <a:noFill/>
                      </a:ln>
                    </wps:spPr>
                    <wps:style>
                      <a:lnRef idx="0"/>
                      <a:fillRef idx="0"/>
                      <a:effectRef idx="0"/>
                      <a:fontRef idx="minor"/>
                    </wps:style>
                    <wps:txbx>
                      <w:txbxContent>
                        <w:p>
                          <w:pPr>
                            <w:pStyle w:val="Contedodoquadro"/>
                            <w:spacing w:before="0" w:after="200"/>
                            <w:rPr>
                              <w:color w:val="000000"/>
                            </w:rPr>
                          </w:pPr>
                          <w:r>
                            <w:rPr>
                              <w:color w:val="000000"/>
                            </w:rPr>
                          </w:r>
                        </w:p>
                      </w:txbxContent>
                    </wps:txbx>
                    <wps:bodyPr lIns="54000" rIns="54000" tIns="54000" bIns="54000">
                      <a:noAutofit/>
                    </wps:bodyPr>
                  </wps:wsp>
                </a:graphicData>
              </a:graphic>
            </wp:anchor>
          </w:drawing>
        </mc:Choice>
        <mc:Fallback>
          <w:pict>
            <v:rect id="shape_0" ID="Quadro2" stroked="f" style="position:absolute;margin-left:0pt;margin-top:8.45pt;width:32.35pt;height:17.5pt">
              <w10:wrap type="none"/>
              <v:fill o:detectmouseclick="t" on="false"/>
              <v:stroke color="#3465a4" joinstyle="round" endcap="flat"/>
              <v:textbox>
                <w:txbxContent>
                  <w:p>
                    <w:pPr>
                      <w:pStyle w:val="Contedodoquadro"/>
                      <w:spacing w:before="0" w:after="200"/>
                      <w:rPr>
                        <w:color w:val="000000"/>
                      </w:rPr>
                    </w:pPr>
                    <w:r>
                      <w:rPr>
                        <w:color w:val="000000"/>
                      </w:rPr>
                    </w:r>
                  </w:p>
                </w:txbxContent>
              </v:textbox>
            </v:rect>
          </w:pict>
        </mc:Fallback>
      </mc:AlternateContent>
    </w:r>
    <w:r>
      <w:rPr>
        <w:rStyle w:val="Fontepargpadro"/>
        <w:rFonts w:eastAsia="Arial" w:cs="Arial" w:ascii="Times New Roman" w:hAnsi="Times New Roman"/>
        <w:b w:val="false"/>
        <w:bCs w:val="false"/>
        <w:color w:val="000000"/>
        <w:spacing w:val="0"/>
        <w:sz w:val="16"/>
        <w:szCs w:val="16"/>
        <w:u w:val="none"/>
        <w:lang w:val="pt-BR" w:eastAsia="hi-IN"/>
      </w:rPr>
      <w:t>E-mail: licitacoes@ifsertao-pe.edu.br</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1" allowOverlap="1" relativeHeight="41">
          <wp:simplePos x="0" y="0"/>
          <wp:positionH relativeFrom="column">
            <wp:posOffset>2447290</wp:posOffset>
          </wp:positionH>
          <wp:positionV relativeFrom="paragraph">
            <wp:posOffset>167005</wp:posOffset>
          </wp:positionV>
          <wp:extent cx="743585" cy="465455"/>
          <wp:effectExtent l="0" t="0" r="0" b="0"/>
          <wp:wrapTopAndBottom/>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1"/>
                  <a:stretch>
                    <a:fillRect/>
                  </a:stretch>
                </pic:blipFill>
                <pic:spPr bwMode="auto">
                  <a:xfrm>
                    <a:off x="0" y="0"/>
                    <a:ext cx="743585" cy="465455"/>
                  </a:xfrm>
                  <a:prstGeom prst="rect">
                    <a:avLst/>
                  </a:prstGeom>
                </pic:spPr>
              </pic:pic>
            </a:graphicData>
          </a:graphic>
        </wp:anchor>
      </w:drawing>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drawing>
        <wp:anchor behindDoc="1" distT="0" distB="0" distL="114935" distR="114935" simplePos="0" locked="0" layoutInCell="1" allowOverlap="1" relativeHeight="81">
          <wp:simplePos x="0" y="0"/>
          <wp:positionH relativeFrom="column">
            <wp:posOffset>5185410</wp:posOffset>
          </wp:positionH>
          <wp:positionV relativeFrom="paragraph">
            <wp:posOffset>48895</wp:posOffset>
          </wp:positionV>
          <wp:extent cx="1019175" cy="1063625"/>
          <wp:effectExtent l="0" t="0" r="0" b="0"/>
          <wp:wrapNone/>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2"/>
                  <a:stretch>
                    <a:fillRect/>
                  </a:stretch>
                </pic:blipFill>
                <pic:spPr bwMode="auto">
                  <a:xfrm>
                    <a:off x="0" y="0"/>
                    <a:ext cx="1019175" cy="1063625"/>
                  </a:xfrm>
                  <a:prstGeom prst="rect">
                    <a:avLst/>
                  </a:prstGeom>
                </pic:spPr>
              </pic:pic>
            </a:graphicData>
          </a:graphic>
        </wp:anchor>
      </w:drawing>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r>
  </w:p>
  <w:p>
    <w:pPr>
      <w:pStyle w:val="LONormal"/>
      <w:widowControl w:val="false"/>
      <w:suppressAutoHyphens w:val="true"/>
      <w:bidi w:val="0"/>
      <w:ind w:left="0" w:right="0" w:hanging="0"/>
      <w:jc w:val="center"/>
      <w:textAlignment w:val="baseline"/>
      <w:rPr>
        <w:rStyle w:val="Fontepare1gpadre3o"/>
        <w:sz w:val="20"/>
        <w:szCs w:val="20"/>
      </w:rPr>
    </w:pPr>
    <w:r>
      <w:rPr>
        <w:sz w:val="20"/>
        <w:szCs w:val="20"/>
      </w:rPr>
    </w:r>
  </w:p>
  <w:p>
    <w:pPr>
      <w:pStyle w:val="LONormal"/>
      <w:widowControl w:val="false"/>
      <w:suppressAutoHyphens w:val="true"/>
      <w:bidi w:val="0"/>
      <w:ind w:left="0" w:right="0" w:hanging="0"/>
      <w:jc w:val="center"/>
      <w:textAlignment w:val="baseline"/>
      <w:rPr/>
    </w:pPr>
    <w:r>
      <w:rPr>
        <w:rStyle w:val="Fontepare1gpadre3o"/>
        <w:rFonts w:eastAsia="Times New Roman" w:cs="Times New Roman" w:ascii="Times New Roman" w:hAnsi="Times New Roman"/>
        <w:b/>
        <w:color w:val="000000"/>
        <w:sz w:val="16"/>
        <w:szCs w:val="16"/>
        <w:lang w:val="pt-BR" w:eastAsia="hi-IN"/>
      </w:rPr>
      <w:t xml:space="preserve">MINISTÉRIO DA EDUCAÇÃO  - </w:t>
    </w:r>
    <w:r>
      <w:rPr>
        <w:rFonts w:eastAsia="Times New Roman" w:cs="Times New Roman" w:ascii="Times New Roman" w:hAnsi="Times New Roman"/>
        <w:b/>
        <w:color w:val="000000"/>
        <w:sz w:val="16"/>
        <w:szCs w:val="16"/>
        <w:lang w:val="pt-BR" w:eastAsia="hi-IN"/>
      </w:rPr>
      <w:t xml:space="preserve">SERVIÇO PÚBLICO FEDERAL </w:t>
    </w:r>
  </w:p>
  <w:p>
    <w:pPr>
      <w:pStyle w:val="LONormal"/>
      <w:widowControl w:val="false"/>
      <w:suppressAutoHyphens w:val="true"/>
      <w:bidi w:val="0"/>
      <w:ind w:left="0" w:right="0" w:hanging="0"/>
      <w:jc w:val="center"/>
      <w:textAlignment w:val="baseline"/>
      <w:rPr/>
    </w:pPr>
    <w:r>
      <w:rPr>
        <w:rFonts w:eastAsia="Times New Roman" w:cs="Times New Roman" w:ascii="Times New Roman" w:hAnsi="Times New Roman"/>
        <w:b/>
        <w:color w:val="000000"/>
        <w:sz w:val="16"/>
        <w:szCs w:val="16"/>
        <w:lang w:val="pt-BR" w:eastAsia="hi-IN"/>
      </w:rPr>
      <w:t xml:space="preserve"> </w:t>
    </w:r>
    <w:r>
      <w:rPr>
        <w:rFonts w:eastAsia="Times New Roman" w:cs="Times New Roman" w:ascii="Times New Roman" w:hAnsi="Times New Roman"/>
        <w:b/>
        <w:color w:val="000000"/>
        <w:sz w:val="16"/>
        <w:szCs w:val="16"/>
        <w:lang w:val="pt-BR" w:eastAsia="hi-IN"/>
      </w:rPr>
      <w:t xml:space="preserve">SECRETARIA DE EDUCAÇÃO PROFISSIONAL E TECNOLÓGICA </w:t>
    </w:r>
  </w:p>
  <w:p>
    <w:pPr>
      <w:pStyle w:val="LONormal"/>
      <w:widowControl w:val="false"/>
      <w:suppressAutoHyphens w:val="true"/>
      <w:bidi w:val="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rPr>
      <w:t xml:space="preserve">INSTITUTO FEDERAL DE EDUCAÇÃO, CIÊNCIAS E TECNOLOGIA DO SERTÃO PERNAMBUCANO </w:t>
    </w:r>
  </w:p>
  <w:p>
    <w:pPr>
      <w:pStyle w:val="Normal"/>
      <w:widowControl w:val="false"/>
      <w:tabs>
        <w:tab w:val="center" w:pos="11737" w:leader="none"/>
      </w:tabs>
      <w:suppressAutoHyphens w:val="true"/>
      <w:bidi w:val="0"/>
      <w:spacing w:before="0" w:after="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bidi="ar-SA"/>
      </w:rPr>
      <w:t>REITORIA / PROAD /DLIC/ CLIC</w:t>
    </w:r>
  </w:p>
  <w:p>
    <w:pPr>
      <w:pStyle w:val="LONormal"/>
      <w:widowControl w:val="false"/>
      <w:tabs>
        <w:tab w:val="center" w:pos="11737" w:leader="none"/>
      </w:tabs>
      <w:suppressAutoHyphens w:val="true"/>
      <w:bidi w:val="0"/>
      <w:spacing w:before="0" w:after="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bidi="ar-SA"/>
      </w:rPr>
      <w:t>EQUIPE DE APOIO AO PREGOEIRO</w:t>
    </w:r>
  </w:p>
  <w:p>
    <w:pPr>
      <w:pStyle w:val="Normal"/>
      <w:widowControl w:val="false"/>
      <w:tabs>
        <w:tab w:val="center" w:pos="11737" w:leader="none"/>
      </w:tabs>
      <w:suppressAutoHyphens w:val="true"/>
      <w:bidi w:val="0"/>
      <w:spacing w:before="0" w:after="0"/>
      <w:ind w:left="0" w:right="227" w:hanging="0"/>
      <w:jc w:val="center"/>
      <w:textAlignment w:val="baseline"/>
      <w:rPr/>
    </w:pPr>
    <w:r>
      <w:rPr>
        <w:rFonts w:eastAsia="Times New Roman" w:cs="Times New Roman" w:ascii="Times New Roman" w:hAnsi="Times New Roman"/>
        <w:b w:val="false"/>
        <w:bCs w:val="false"/>
        <w:color w:val="000000"/>
        <w:sz w:val="20"/>
        <w:szCs w:val="20"/>
        <w:lang w:val="pt-BR" w:eastAsia="hi-IN"/>
      </w:rPr>
      <w:t xml:space="preserve">Endereço: </w:t>
    </w:r>
    <w:r>
      <w:rPr>
        <w:rStyle w:val="Fontepargpadro1"/>
        <w:rFonts w:eastAsia="Times New Roman" w:cs="Arial" w:ascii="Times New Roman" w:hAnsi="Times New Roman"/>
        <w:b w:val="false"/>
        <w:bCs w:val="false"/>
        <w:iCs/>
        <w:color w:val="000000"/>
        <w:spacing w:val="0"/>
        <w:sz w:val="20"/>
        <w:szCs w:val="20"/>
        <w:u w:val="none"/>
        <w:lang w:val="pt-BR" w:eastAsia="pt-BR" w:bidi="ar-SA"/>
      </w:rPr>
      <w:t>Rua Aristarco Lopes, 240, Centro, Petrolina-PE</w:t>
    </w:r>
    <w:r>
      <w:rPr>
        <w:rStyle w:val="Fontepargpadro"/>
        <w:rFonts w:eastAsia="Arial" w:cs="Arial" w:ascii="Times New Roman" w:hAnsi="Times New Roman"/>
        <w:b w:val="false"/>
        <w:bCs w:val="false"/>
        <w:color w:val="000000"/>
        <w:spacing w:val="0"/>
        <w:sz w:val="20"/>
        <w:szCs w:val="20"/>
        <w:u w:val="none"/>
        <w:lang w:val="pt-BR" w:eastAsia="hi-IN"/>
      </w:rPr>
      <w:t>, CEP: 56302-100. TEL/FAX: (87) 2101-2350.</w:t>
    </w:r>
  </w:p>
  <w:p>
    <w:pPr>
      <w:pStyle w:val="Normal"/>
      <w:widowControl w:val="false"/>
      <w:tabs>
        <w:tab w:val="center" w:pos="11737" w:leader="none"/>
      </w:tabs>
      <w:suppressAutoHyphens w:val="true"/>
      <w:bidi w:val="0"/>
      <w:spacing w:before="0" w:after="0"/>
      <w:ind w:left="0" w:right="227" w:hanging="0"/>
      <w:jc w:val="center"/>
      <w:textAlignment w:val="baseline"/>
      <w:rPr/>
    </w:pPr>
    <w:r>
      <mc:AlternateContent>
        <mc:Choice Requires="wps">
          <w:drawing>
            <wp:anchor behindDoc="1" distT="0" distB="0" distL="0" distR="0" simplePos="0" locked="0" layoutInCell="1" allowOverlap="1" relativeHeight="121">
              <wp:simplePos x="0" y="0"/>
              <wp:positionH relativeFrom="column">
                <wp:posOffset>0</wp:posOffset>
              </wp:positionH>
              <wp:positionV relativeFrom="paragraph">
                <wp:posOffset>107315</wp:posOffset>
              </wp:positionV>
              <wp:extent cx="412115" cy="223520"/>
              <wp:effectExtent l="0" t="0" r="0" b="0"/>
              <wp:wrapTopAndBottom/>
              <wp:docPr id="7" name="Quadro1"/>
              <a:graphic xmlns:a="http://schemas.openxmlformats.org/drawingml/2006/main">
                <a:graphicData uri="http://schemas.microsoft.com/office/word/2010/wordprocessingShape">
                  <wps:wsp>
                    <wps:cNvSpPr/>
                    <wps:spPr>
                      <a:xfrm>
                        <a:off x="0" y="0"/>
                        <a:ext cx="411480" cy="222840"/>
                      </a:xfrm>
                      <a:prstGeom prst="rect">
                        <a:avLst/>
                      </a:prstGeom>
                      <a:noFill/>
                      <a:ln>
                        <a:noFill/>
                      </a:ln>
                    </wps:spPr>
                    <wps:style>
                      <a:lnRef idx="0"/>
                      <a:fillRef idx="0"/>
                      <a:effectRef idx="0"/>
                      <a:fontRef idx="minor"/>
                    </wps:style>
                    <wps:bodyPr/>
                  </wps:wsp>
                </a:graphicData>
              </a:graphic>
            </wp:anchor>
          </w:drawing>
        </mc:Choice>
        <mc:Fallback>
          <w:pict>
            <v:rect id="shape_0" ID="Quadro1" stroked="f" style="position:absolute;margin-left:0pt;margin-top:8.45pt;width:32.35pt;height:17.5pt">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161">
              <wp:simplePos x="0" y="0"/>
              <wp:positionH relativeFrom="column">
                <wp:posOffset>0</wp:posOffset>
              </wp:positionH>
              <wp:positionV relativeFrom="paragraph">
                <wp:posOffset>107315</wp:posOffset>
              </wp:positionV>
              <wp:extent cx="412115" cy="223520"/>
              <wp:effectExtent l="0" t="0" r="0" b="0"/>
              <wp:wrapNone/>
              <wp:docPr id="8" name="Quadro2"/>
              <a:graphic xmlns:a="http://schemas.openxmlformats.org/drawingml/2006/main">
                <a:graphicData uri="http://schemas.microsoft.com/office/word/2010/wordprocessingShape">
                  <wps:wsp>
                    <wps:cNvSpPr/>
                    <wps:spPr>
                      <a:xfrm>
                        <a:off x="0" y="0"/>
                        <a:ext cx="411480" cy="222840"/>
                      </a:xfrm>
                      <a:prstGeom prst="rect">
                        <a:avLst/>
                      </a:prstGeom>
                      <a:noFill/>
                      <a:ln>
                        <a:noFill/>
                      </a:ln>
                    </wps:spPr>
                    <wps:style>
                      <a:lnRef idx="0"/>
                      <a:fillRef idx="0"/>
                      <a:effectRef idx="0"/>
                      <a:fontRef idx="minor"/>
                    </wps:style>
                    <wps:txbx>
                      <w:txbxContent>
                        <w:p>
                          <w:pPr>
                            <w:pStyle w:val="Contedodoquadro"/>
                            <w:spacing w:before="0" w:after="200"/>
                            <w:rPr>
                              <w:color w:val="000000"/>
                            </w:rPr>
                          </w:pPr>
                          <w:r>
                            <w:rPr>
                              <w:color w:val="000000"/>
                            </w:rPr>
                          </w:r>
                        </w:p>
                      </w:txbxContent>
                    </wps:txbx>
                    <wps:bodyPr lIns="54000" rIns="54000" tIns="54000" bIns="54000">
                      <a:noAutofit/>
                    </wps:bodyPr>
                  </wps:wsp>
                </a:graphicData>
              </a:graphic>
            </wp:anchor>
          </w:drawing>
        </mc:Choice>
        <mc:Fallback>
          <w:pict>
            <v:rect id="shape_0" ID="Quadro2" stroked="f" style="position:absolute;margin-left:0pt;margin-top:8.45pt;width:32.35pt;height:17.5pt">
              <w10:wrap type="none"/>
              <v:fill o:detectmouseclick="t" on="false"/>
              <v:stroke color="#3465a4" joinstyle="round" endcap="flat"/>
              <v:textbox>
                <w:txbxContent>
                  <w:p>
                    <w:pPr>
                      <w:pStyle w:val="Contedodoquadro"/>
                      <w:spacing w:before="0" w:after="200"/>
                      <w:rPr>
                        <w:color w:val="000000"/>
                      </w:rPr>
                    </w:pPr>
                    <w:r>
                      <w:rPr>
                        <w:color w:val="000000"/>
                      </w:rPr>
                    </w:r>
                  </w:p>
                </w:txbxContent>
              </v:textbox>
            </v:rect>
          </w:pict>
        </mc:Fallback>
      </mc:AlternateContent>
    </w:r>
    <w:r>
      <w:rPr>
        <w:rStyle w:val="Fontepargpadro"/>
        <w:rFonts w:eastAsia="Arial" w:cs="Arial" w:ascii="Times New Roman" w:hAnsi="Times New Roman"/>
        <w:b w:val="false"/>
        <w:bCs w:val="false"/>
        <w:color w:val="000000"/>
        <w:spacing w:val="0"/>
        <w:sz w:val="20"/>
        <w:szCs w:val="20"/>
        <w:u w:val="none"/>
        <w:lang w:val="pt-BR" w:eastAsia="hi-IN"/>
      </w:rPr>
      <w:t>E-mail: licitacoes@ifsertao-pe.edu.br</w:t>
    </w:r>
  </w:p>
  <w:p>
    <w:pPr>
      <w:pStyle w:val="Normal"/>
      <w:spacing w:lineRule="atLeast" w:line="200" w:before="0" w:after="0"/>
      <w:ind w:left="426" w:right="0" w:hanging="0"/>
      <w:jc w:val="center"/>
      <w:rPr>
        <w:b/>
        <w:b/>
        <w:sz w:val="16"/>
        <w:szCs w:val="16"/>
      </w:rPr>
    </w:pPr>
    <w:r>
      <w:rPr>
        <w:b/>
        <w:sz w:val="16"/>
        <w:szCs w:val="16"/>
      </w:rPr>
    </w:r>
  </w:p>
  <w:p>
    <w:pPr>
      <w:pStyle w:val="Normal"/>
      <w:spacing w:lineRule="atLeast" w:line="200" w:before="0" w:after="0"/>
      <w:ind w:left="426" w:right="0" w:hanging="0"/>
      <w:jc w:val="center"/>
      <w:rPr>
        <w:b/>
        <w:b/>
        <w:sz w:val="16"/>
        <w:szCs w:val="16"/>
      </w:rPr>
    </w:pPr>
    <w:r>
      <w:rPr>
        <w:b/>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0"/>
        <w:b/>
        <w:rFonts w:ascii="Arial" w:hAnsi="Arial"/>
      </w:rPr>
    </w:lvl>
    <w:lvl w:ilvl="1">
      <w:start w:val="1"/>
      <w:numFmt w:val="decimal"/>
      <w:lvlText w:val="%1.%2."/>
      <w:lvlJc w:val="left"/>
      <w:pPr>
        <w:ind w:left="1141" w:hanging="432"/>
      </w:pPr>
      <w:rPr>
        <w:sz w:val="20"/>
        <w:b/>
        <w:szCs w:val="20"/>
        <w:bCs/>
        <w:rFonts w:ascii="Arial" w:hAnsi="Arial"/>
        <w:color w:val="00000A"/>
      </w:rPr>
    </w:lvl>
    <w:lvl w:ilvl="2">
      <w:start w:val="1"/>
      <w:numFmt w:val="decimal"/>
      <w:lvlText w:val="%1.%2.%3."/>
      <w:lvlJc w:val="left"/>
      <w:pPr>
        <w:ind w:left="1922" w:hanging="504"/>
      </w:pPr>
      <w:rPr>
        <w:sz w:val="22"/>
        <w:b/>
        <w:szCs w:val="20"/>
        <w:bCs/>
        <w:rFonts w:ascii="Times New Roman" w:hAnsi="Times New Roman"/>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bullet"/>
      <w:lvlText w:val=""/>
      <w:lvlJc w:val="left"/>
      <w:pPr>
        <w:tabs>
          <w:tab w:val="num" w:pos="720"/>
        </w:tabs>
        <w:ind w:left="720" w:hanging="360"/>
      </w:pPr>
      <w:rPr>
        <w:rFonts w:ascii="Wingdings" w:hAnsi="Wingdings" w:cs="Wingdings" w:hint="default"/>
        <w:sz w:val="22"/>
        <w:b/>
        <w:rFonts w:cs="Wingdings"/>
      </w:rPr>
    </w:lvl>
    <w:lvl w:ilvl="1">
      <w:start w:val="1"/>
      <w:numFmt w:val="bullet"/>
      <w:lvlText w:val=""/>
      <w:lvlJc w:val="left"/>
      <w:pPr>
        <w:tabs>
          <w:tab w:val="num" w:pos="1080"/>
        </w:tabs>
        <w:ind w:left="1080" w:hanging="360"/>
      </w:pPr>
      <w:rPr>
        <w:rFonts w:ascii="Wingdings" w:hAnsi="Wingdings" w:cs="Wingdings" w:hint="default"/>
        <w:rFonts w:cs="Wingdings"/>
      </w:rPr>
    </w:lvl>
    <w:lvl w:ilvl="2">
      <w:start w:val="1"/>
      <w:numFmt w:val="bullet"/>
      <w:lvlText w:val=""/>
      <w:lvlJc w:val="left"/>
      <w:pPr>
        <w:tabs>
          <w:tab w:val="num" w:pos="1440"/>
        </w:tabs>
        <w:ind w:left="1440" w:hanging="360"/>
      </w:pPr>
      <w:rPr>
        <w:rFonts w:ascii="Wingdings" w:hAnsi="Wingdings" w:cs="Wingdings" w:hint="default"/>
        <w:rFonts w:cs="Wingdings"/>
      </w:rPr>
    </w:lvl>
    <w:lvl w:ilvl="3">
      <w:start w:val="1"/>
      <w:numFmt w:val="bullet"/>
      <w:lvlText w:val=""/>
      <w:lvlJc w:val="left"/>
      <w:pPr>
        <w:tabs>
          <w:tab w:val="num" w:pos="1800"/>
        </w:tabs>
        <w:ind w:left="1800" w:hanging="360"/>
      </w:pPr>
      <w:rPr>
        <w:rFonts w:ascii="Wingdings" w:hAnsi="Wingdings" w:cs="Wingdings" w:hint="default"/>
        <w:rFonts w:cs="Wingdings"/>
      </w:rPr>
    </w:lvl>
    <w:lvl w:ilvl="4">
      <w:start w:val="1"/>
      <w:numFmt w:val="bullet"/>
      <w:lvlText w:val=""/>
      <w:lvlJc w:val="left"/>
      <w:pPr>
        <w:tabs>
          <w:tab w:val="num" w:pos="2160"/>
        </w:tabs>
        <w:ind w:left="2160" w:hanging="360"/>
      </w:pPr>
      <w:rPr>
        <w:rFonts w:ascii="Wingdings" w:hAnsi="Wingdings" w:cs="Wingdings" w:hint="default"/>
        <w:rFonts w:cs="Wingdings"/>
      </w:rPr>
    </w:lvl>
    <w:lvl w:ilvl="5">
      <w:start w:val="1"/>
      <w:numFmt w:val="bullet"/>
      <w:lvlText w:val=""/>
      <w:lvlJc w:val="left"/>
      <w:pPr>
        <w:tabs>
          <w:tab w:val="num" w:pos="2520"/>
        </w:tabs>
        <w:ind w:left="2520" w:hanging="360"/>
      </w:pPr>
      <w:rPr>
        <w:rFonts w:ascii="Wingdings" w:hAnsi="Wingdings" w:cs="Wingdings" w:hint="default"/>
        <w:rFonts w:cs="Wingdings"/>
      </w:rPr>
    </w:lvl>
    <w:lvl w:ilvl="6">
      <w:start w:val="1"/>
      <w:numFmt w:val="bullet"/>
      <w:lvlText w:val=""/>
      <w:lvlJc w:val="left"/>
      <w:pPr>
        <w:tabs>
          <w:tab w:val="num" w:pos="2880"/>
        </w:tabs>
        <w:ind w:left="2880" w:hanging="360"/>
      </w:pPr>
      <w:rPr>
        <w:rFonts w:ascii="Wingdings" w:hAnsi="Wingdings" w:cs="Wingdings" w:hint="default"/>
        <w:rFonts w:cs="Wingdings"/>
      </w:rPr>
    </w:lvl>
    <w:lvl w:ilvl="7">
      <w:start w:val="1"/>
      <w:numFmt w:val="bullet"/>
      <w:lvlText w:val=""/>
      <w:lvlJc w:val="left"/>
      <w:pPr>
        <w:tabs>
          <w:tab w:val="num" w:pos="3240"/>
        </w:tabs>
        <w:ind w:left="3240" w:hanging="360"/>
      </w:pPr>
      <w:rPr>
        <w:rFonts w:ascii="Wingdings" w:hAnsi="Wingdings" w:cs="Wingdings" w:hint="default"/>
        <w:rFonts w:cs="Wingdings"/>
      </w:rPr>
    </w:lvl>
    <w:lvl w:ilvl="8">
      <w:start w:val="1"/>
      <w:numFmt w:val="bullet"/>
      <w:lvlText w:val=""/>
      <w:lvlJc w:val="left"/>
      <w:pPr>
        <w:tabs>
          <w:tab w:val="num" w:pos="3600"/>
        </w:tabs>
        <w:ind w:left="360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evenAndOddHeader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 w:val="20"/>
        <w:szCs w:val="22"/>
        <w:lang w:val="pt-BR" w:eastAsia="pt-BR" w:bidi="ar-SA"/>
      </w:rPr>
    </w:rPrDefault>
    <w:pPrDefault>
      <w:pPr/>
    </w:pPrDefault>
  </w:docDefaults>
  <w:style w:type="paragraph" w:styleId="Normal">
    <w:name w:val="Normal"/>
    <w:qFormat/>
    <w:pPr>
      <w:widowControl/>
      <w:overflowPunct w:val="true"/>
      <w:bidi w:val="0"/>
      <w:spacing w:lineRule="auto" w:line="276" w:before="0" w:after="200"/>
      <w:jc w:val="left"/>
    </w:pPr>
    <w:rPr>
      <w:rFonts w:ascii="Calibri" w:hAnsi="Calibri" w:eastAsia="Segoe UI" w:cs="Tahoma"/>
      <w:color w:val="00000A"/>
      <w:sz w:val="22"/>
      <w:szCs w:val="22"/>
      <w:lang w:val="pt-BR" w:eastAsia="pt-BR" w:bidi="ar-SA"/>
    </w:rPr>
  </w:style>
  <w:style w:type="paragraph" w:styleId="Ttulo1">
    <w:name w:val="Heading 1"/>
    <w:basedOn w:val="Ttulo"/>
    <w:qFormat/>
    <w:pPr>
      <w:keepNext/>
      <w:keepLines/>
      <w:widowControl w:val="false"/>
      <w:bidi w:val="0"/>
      <w:spacing w:before="240" w:after="0"/>
      <w:jc w:val="left"/>
      <w:outlineLvl w:val="0"/>
    </w:pPr>
    <w:rPr>
      <w:rFonts w:ascii="Cambria" w:hAnsi="Cambria" w:eastAsia="Segoe UI" w:cs="Tahoma"/>
      <w:b/>
      <w:bCs/>
      <w:color w:val="365F91"/>
      <w:sz w:val="32"/>
      <w:szCs w:val="32"/>
      <w:lang w:val="pt-BR" w:eastAsia="pt-BR" w:bidi="ar-SA"/>
    </w:rPr>
  </w:style>
  <w:style w:type="paragraph" w:styleId="Ttulo2">
    <w:name w:val="Heading 2"/>
    <w:basedOn w:val="Ttulo"/>
    <w:qFormat/>
    <w:pPr>
      <w:keepNext/>
      <w:widowControl w:val="false"/>
      <w:tabs>
        <w:tab w:val="left" w:pos="1701" w:leader="none"/>
      </w:tabs>
      <w:bidi w:val="0"/>
      <w:ind w:left="0" w:right="-1" w:hanging="0"/>
      <w:jc w:val="center"/>
      <w:outlineLvl w:val="1"/>
    </w:pPr>
    <w:rPr>
      <w:rFonts w:ascii="Times New Roman" w:hAnsi="Times New Roman" w:eastAsia="Segoe UI" w:cs="Times New Roman"/>
      <w:b/>
      <w:bCs/>
      <w:i/>
      <w:iCs/>
      <w:color w:val="000000"/>
      <w:sz w:val="28"/>
      <w:szCs w:val="20"/>
      <w:lang w:val="pt-BR" w:eastAsia="pt-BR" w:bidi="ar-SA"/>
    </w:rPr>
  </w:style>
  <w:style w:type="paragraph" w:styleId="Ttulo3">
    <w:name w:val="Heading 3"/>
    <w:basedOn w:val="Normal"/>
    <w:next w:val="Normal"/>
    <w:qFormat/>
    <w:pPr>
      <w:keepNext/>
      <w:widowControl w:val="false"/>
      <w:tabs>
        <w:tab w:val="left" w:pos="0" w:leader="none"/>
        <w:tab w:val="left" w:pos="1560" w:leader="none"/>
        <w:tab w:val="left" w:pos="2694" w:leader="none"/>
      </w:tabs>
      <w:suppressAutoHyphens w:val="true"/>
      <w:spacing w:lineRule="auto" w:line="240" w:before="0" w:after="0"/>
      <w:jc w:val="center"/>
      <w:outlineLvl w:val="2"/>
    </w:pPr>
    <w:rPr>
      <w:rFonts w:ascii="Times New Roman" w:hAnsi="Times New Roman" w:eastAsia="SimSun" w:cs="Mangal"/>
      <w:b/>
      <w:sz w:val="24"/>
      <w:szCs w:val="20"/>
      <w:lang w:eastAsia="zh-CN" w:bidi="hi-IN"/>
    </w:rPr>
  </w:style>
  <w:style w:type="character" w:styleId="DefaultParagraphFont">
    <w:name w:val="Default Paragraph Font"/>
    <w:qFormat/>
    <w:rPr/>
  </w:style>
  <w:style w:type="character" w:styleId="TextodebaloChar">
    <w:name w:val="Texto de balão Char"/>
    <w:qFormat/>
    <w:rPr>
      <w:rFonts w:ascii="Tahoma" w:hAnsi="Tahoma" w:cs="Tahoma"/>
      <w:sz w:val="16"/>
      <w:szCs w:val="16"/>
    </w:rPr>
  </w:style>
  <w:style w:type="character" w:styleId="Ttulo2Char">
    <w:name w:val="Título 2 Char"/>
    <w:qFormat/>
    <w:rPr>
      <w:b/>
      <w:color w:val="000000"/>
      <w:sz w:val="24"/>
    </w:rPr>
  </w:style>
  <w:style w:type="character" w:styleId="Normalchar1">
    <w:name w:val="normal__char1"/>
    <w:qFormat/>
    <w:rPr>
      <w:rFonts w:ascii="Arial" w:hAnsi="Arial" w:cs="Arial"/>
      <w:dstrike/>
      <w:sz w:val="24"/>
      <w:szCs w:val="24"/>
      <w:u w:val="none"/>
      <w:effect w:val="none"/>
    </w:rPr>
  </w:style>
  <w:style w:type="character" w:styleId="Applestylespan">
    <w:name w:val="apple-style-span"/>
    <w:basedOn w:val="DefaultParagraphFont"/>
    <w:qFormat/>
    <w:rPr/>
  </w:style>
  <w:style w:type="character" w:styleId="LinkdaInternet">
    <w:name w:val="Link da Internet"/>
    <w:rPr>
      <w:color w:val="000080"/>
      <w:u w:val="single"/>
    </w:rPr>
  </w:style>
  <w:style w:type="character" w:styleId="CitaoChar">
    <w:name w:val="Citação Char"/>
    <w:qFormat/>
    <w:rPr>
      <w:rFonts w:ascii="Arial" w:hAnsi="Arial" w:eastAsia="Calibri" w:cs="Tahoma"/>
      <w:i/>
      <w:iCs/>
      <w:color w:val="000000"/>
      <w:szCs w:val="24"/>
      <w:highlight w:val="yellow"/>
      <w:lang w:eastAsia="en-US"/>
    </w:rPr>
  </w:style>
  <w:style w:type="character" w:styleId="Citao2Char">
    <w:name w:val="citação 2 Char"/>
    <w:basedOn w:val="CitaoChar"/>
    <w:qFormat/>
    <w:rPr>
      <w:rFonts w:ascii="Arial" w:hAnsi="Arial" w:eastAsia="Calibri" w:cs="Tahoma"/>
      <w:i/>
      <w:iCs/>
      <w:color w:val="000000"/>
      <w:szCs w:val="24"/>
      <w:highlight w:val="yellow"/>
      <w:lang w:eastAsia="en-US"/>
    </w:rPr>
  </w:style>
  <w:style w:type="character" w:styleId="CabealhoChar">
    <w:name w:val="Cabeçalho Char"/>
    <w:qFormat/>
    <w:rPr>
      <w:rFonts w:ascii="Ecofont_Spranq_eco_Sans" w:hAnsi="Ecofont_Spranq_eco_Sans" w:cs="Tahoma"/>
      <w:sz w:val="24"/>
      <w:szCs w:val="24"/>
    </w:rPr>
  </w:style>
  <w:style w:type="character" w:styleId="RodapChar">
    <w:name w:val="Rodapé Char"/>
    <w:qFormat/>
    <w:rPr>
      <w:rFonts w:ascii="Ecofont_Spranq_eco_Sans" w:hAnsi="Ecofont_Spranq_eco_Sans" w:cs="Tahoma"/>
      <w:sz w:val="24"/>
      <w:szCs w:val="24"/>
    </w:rPr>
  </w:style>
  <w:style w:type="character" w:styleId="Nfase">
    <w:name w:val="Ênfase"/>
    <w:qFormat/>
    <w:rPr>
      <w:i/>
      <w:iCs/>
    </w:rPr>
  </w:style>
  <w:style w:type="character" w:styleId="Ttulo1Char">
    <w:name w:val="Título 1 Char"/>
    <w:basedOn w:val="DefaultParagraphFont"/>
    <w:qFormat/>
    <w:rPr>
      <w:rFonts w:ascii="Cambria" w:hAnsi="Cambria"/>
      <w:color w:val="365F91"/>
      <w:sz w:val="32"/>
      <w:szCs w:val="32"/>
    </w:rPr>
  </w:style>
  <w:style w:type="character" w:styleId="Nivel01Char">
    <w:name w:val="Nivel 01 Char"/>
    <w:basedOn w:val="DefaultParagraphFont"/>
    <w:qFormat/>
    <w:rPr>
      <w:rFonts w:ascii="Ecofont_Spranq_eco_Sans" w:hAnsi="Ecofont_Spranq_eco_Sans"/>
      <w:b/>
      <w:bCs/>
      <w:color w:val="000000"/>
    </w:rPr>
  </w:style>
  <w:style w:type="character" w:styleId="Nivel1Char">
    <w:name w:val="Nivel1 Char"/>
    <w:basedOn w:val="Ttulo1Char"/>
    <w:qFormat/>
    <w:rPr>
      <w:rFonts w:ascii="Arial" w:hAnsi="Arial" w:cs="Arial"/>
      <w:b/>
      <w:color w:val="000000"/>
      <w:sz w:val="32"/>
      <w:szCs w:val="32"/>
    </w:rPr>
  </w:style>
  <w:style w:type="character" w:styleId="Annotationreference">
    <w:name w:val="annotation reference"/>
    <w:basedOn w:val="DefaultParagraphFont"/>
    <w:qFormat/>
    <w:rPr>
      <w:sz w:val="16"/>
      <w:szCs w:val="16"/>
    </w:rPr>
  </w:style>
  <w:style w:type="character" w:styleId="TextodecomentrioChar">
    <w:name w:val="Texto de comentário Char"/>
    <w:basedOn w:val="DefaultParagraphFont"/>
    <w:qFormat/>
    <w:rPr>
      <w:rFonts w:ascii="Ecofont_Spranq_eco_Sans" w:hAnsi="Ecofont_Spranq_eco_Sans" w:cs="Tahoma"/>
    </w:rPr>
  </w:style>
  <w:style w:type="character" w:styleId="ListLabel1">
    <w:name w:val="ListLabel 1"/>
    <w:qFormat/>
    <w:rPr>
      <w:b/>
    </w:rPr>
  </w:style>
  <w:style w:type="character" w:styleId="ListLabel2">
    <w:name w:val="ListLabel 2"/>
    <w:qFormat/>
    <w:rPr>
      <w:rFonts w:cs="Arial"/>
      <w:b w:val="false"/>
      <w:color w:val="00000A"/>
      <w:sz w:val="20"/>
      <w:szCs w:val="20"/>
    </w:rPr>
  </w:style>
  <w:style w:type="character" w:styleId="ListLabel3">
    <w:name w:val="ListLabel 3"/>
    <w:qFormat/>
    <w:rPr>
      <w:b w:val="false"/>
      <w:color w:val="00000A"/>
      <w:sz w:val="20"/>
      <w:szCs w:val="20"/>
    </w:rPr>
  </w:style>
  <w:style w:type="character" w:styleId="ListLabel4">
    <w:name w:val="ListLabel 4"/>
    <w:qFormat/>
    <w:rPr>
      <w:rFonts w:eastAsia="Arial Unicode MS"/>
    </w:rPr>
  </w:style>
  <w:style w:type="character" w:styleId="ListLabel5">
    <w:name w:val="ListLabel 5"/>
    <w:qFormat/>
    <w:rPr>
      <w:rFonts w:cs="Arial"/>
      <w:i/>
      <w:color w:val="FF0000"/>
    </w:rPr>
  </w:style>
  <w:style w:type="character" w:styleId="ListLabel6">
    <w:name w:val="ListLabel 6"/>
    <w:qFormat/>
    <w:rPr>
      <w:color w:val="0000FF"/>
    </w:rPr>
  </w:style>
  <w:style w:type="character" w:styleId="ListLabel7">
    <w:name w:val="ListLabel 7"/>
    <w:qFormat/>
    <w:rPr>
      <w:b w:val="false"/>
    </w:rPr>
  </w:style>
  <w:style w:type="character" w:styleId="ListLabel8">
    <w:name w:val="ListLabel 8"/>
    <w:qFormat/>
    <w:rPr>
      <w:b/>
      <w:i w:val="false"/>
    </w:rPr>
  </w:style>
  <w:style w:type="character" w:styleId="ListLabel9">
    <w:name w:val="ListLabel 9"/>
    <w:qFormat/>
    <w:rPr>
      <w:b/>
      <w:i w:val="false"/>
      <w:color w:val="00000A"/>
    </w:rPr>
  </w:style>
  <w:style w:type="character" w:styleId="ListLabel10">
    <w:name w:val="ListLabel 10"/>
    <w:qFormat/>
    <w:rPr>
      <w:sz w:val="20"/>
      <w:szCs w:val="20"/>
    </w:rPr>
  </w:style>
  <w:style w:type="character" w:styleId="ListLabel11">
    <w:name w:val="ListLabel 11"/>
    <w:qFormat/>
    <w:rPr>
      <w:b w:val="false"/>
      <w:sz w:val="20"/>
      <w:szCs w:val="20"/>
    </w:rPr>
  </w:style>
  <w:style w:type="character" w:styleId="ListLabel12">
    <w:name w:val="ListLabel 12"/>
    <w:qFormat/>
    <w:rPr>
      <w:b/>
    </w:rPr>
  </w:style>
  <w:style w:type="character" w:styleId="ListLabel13">
    <w:name w:val="ListLabel 13"/>
    <w:qFormat/>
    <w:rPr>
      <w:b w:val="false"/>
      <w:color w:val="00000A"/>
      <w:sz w:val="20"/>
      <w:szCs w:val="20"/>
    </w:rPr>
  </w:style>
  <w:style w:type="character" w:styleId="ListLabel14">
    <w:name w:val="ListLabel 14"/>
    <w:qFormat/>
    <w:rPr>
      <w:sz w:val="20"/>
      <w:szCs w:val="20"/>
    </w:rPr>
  </w:style>
  <w:style w:type="character" w:styleId="ListLabel15">
    <w:name w:val="ListLabel 15"/>
    <w:qFormat/>
    <w:rPr>
      <w:b/>
    </w:rPr>
  </w:style>
  <w:style w:type="character" w:styleId="ListLabel16">
    <w:name w:val="ListLabel 16"/>
    <w:qFormat/>
    <w:rPr>
      <w:b w:val="false"/>
      <w:color w:val="00000A"/>
      <w:sz w:val="20"/>
      <w:szCs w:val="20"/>
    </w:rPr>
  </w:style>
  <w:style w:type="character" w:styleId="ListLabel17">
    <w:name w:val="ListLabel 17"/>
    <w:qFormat/>
    <w:rPr>
      <w:sz w:val="20"/>
      <w:szCs w:val="20"/>
    </w:rPr>
  </w:style>
  <w:style w:type="character" w:styleId="ListLabel18">
    <w:name w:val="ListLabel 18"/>
    <w:qFormat/>
    <w:rPr>
      <w:b/>
    </w:rPr>
  </w:style>
  <w:style w:type="character" w:styleId="ListLabel19">
    <w:name w:val="ListLabel 19"/>
    <w:qFormat/>
    <w:rPr>
      <w:b w:val="false"/>
      <w:color w:val="00000A"/>
      <w:sz w:val="20"/>
      <w:szCs w:val="20"/>
    </w:rPr>
  </w:style>
  <w:style w:type="character" w:styleId="ListLabel20">
    <w:name w:val="ListLabel 20"/>
    <w:qFormat/>
    <w:rPr>
      <w:sz w:val="20"/>
      <w:szCs w:val="20"/>
    </w:rPr>
  </w:style>
  <w:style w:type="character" w:styleId="SubtleEmphasis">
    <w:name w:val="Subtle Emphasis"/>
    <w:basedOn w:val="DefaultParagraphFont"/>
    <w:qFormat/>
    <w:rPr>
      <w:i/>
      <w:iCs/>
      <w:color w:val="808080"/>
    </w:rPr>
  </w:style>
  <w:style w:type="character" w:styleId="Nfaseforte">
    <w:name w:val="Ênfase forte"/>
    <w:qFormat/>
    <w:rPr>
      <w:b/>
      <w:bCs/>
    </w:rPr>
  </w:style>
  <w:style w:type="character" w:styleId="Ttulo3Char">
    <w:name w:val="Título 3 Char"/>
    <w:basedOn w:val="DefaultParagraphFont"/>
    <w:qFormat/>
    <w:rPr>
      <w:rFonts w:ascii="Times New Roman" w:hAnsi="Times New Roman" w:eastAsia="SimSun" w:cs="Mangal"/>
      <w:b/>
      <w:sz w:val="24"/>
      <w:szCs w:val="20"/>
      <w:lang w:eastAsia="zh-CN" w:bidi="hi-IN"/>
    </w:rPr>
  </w:style>
  <w:style w:type="character" w:styleId="WW8Num2z0">
    <w:name w:val="WW8Num2z0"/>
    <w:qFormat/>
    <w:rPr/>
  </w:style>
  <w:style w:type="character" w:styleId="WW8Num3z1">
    <w:name w:val="WW8Num3z1"/>
    <w:qFormat/>
    <w:rPr>
      <w:rFonts w:ascii="OpenSymbol" w:hAnsi="OpenSymbol" w:cs="OpenSymbol"/>
    </w:rPr>
  </w:style>
  <w:style w:type="character" w:styleId="WW8Num3z2">
    <w:name w:val="WW8Num3z2"/>
    <w:qFormat/>
    <w:rPr>
      <w:b/>
      <w:sz w:val="20"/>
      <w:szCs w:val="20"/>
    </w:rPr>
  </w:style>
  <w:style w:type="character" w:styleId="WW8Num4z0">
    <w:name w:val="WW8Num4z0"/>
    <w:qFormat/>
    <w:rPr/>
  </w:style>
  <w:style w:type="character" w:styleId="WW8Num4z1">
    <w:name w:val="WW8Num4z1"/>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7z1">
    <w:name w:val="WW8Num7z1"/>
    <w:qFormat/>
    <w:rPr/>
  </w:style>
  <w:style w:type="character" w:styleId="WW8Num7z2">
    <w:name w:val="WW8Num7z2"/>
    <w:qFormat/>
    <w:rPr/>
  </w:style>
  <w:style w:type="character" w:styleId="AbsatzStandardschriftart">
    <w:name w:val="Absatz-Standardschriftart"/>
    <w:qFormat/>
    <w:rPr/>
  </w:style>
  <w:style w:type="character" w:styleId="WW8Num1z0">
    <w:name w:val="WW8Num1z0"/>
    <w:qFormat/>
    <w:rPr/>
  </w:style>
  <w:style w:type="character" w:styleId="WW8Num1z2">
    <w:name w:val="WW8Num1z2"/>
    <w:qFormat/>
    <w:rPr>
      <w:rFonts w:eastAsia="Verdana" w:cs="Times New Roman"/>
      <w:b/>
      <w:szCs w:val="24"/>
    </w:rPr>
  </w:style>
  <w:style w:type="character" w:styleId="WW8Num1z3">
    <w:name w:val="WW8Num1z3"/>
    <w:qFormat/>
    <w:rPr/>
  </w:style>
  <w:style w:type="character" w:styleId="WW8Num7z0">
    <w:name w:val="WW8Num7z0"/>
    <w:qFormat/>
    <w:rPr/>
  </w:style>
  <w:style w:type="character" w:styleId="WW8Num8z0">
    <w:name w:val="WW8Num8z0"/>
    <w:qFormat/>
    <w:rPr/>
  </w:style>
  <w:style w:type="character" w:styleId="WW8Num9z0">
    <w:name w:val="WW8Num9z0"/>
    <w:qFormat/>
    <w:rPr/>
  </w:style>
  <w:style w:type="character" w:styleId="WW8Num11z0">
    <w:name w:val="WW8Num11z0"/>
    <w:qFormat/>
    <w:rPr>
      <w:rFonts w:ascii="Symbol" w:hAnsi="Symbol" w:cs="Symbol"/>
    </w:rPr>
  </w:style>
  <w:style w:type="character" w:styleId="WW8Num13z1">
    <w:name w:val="WW8Num13z1"/>
    <w:qFormat/>
    <w:rPr>
      <w:b/>
      <w:i w:val="false"/>
      <w:color w:val="00000A"/>
      <w:sz w:val="20"/>
      <w:szCs w:val="20"/>
    </w:rPr>
  </w:style>
  <w:style w:type="character" w:styleId="WW8Num13z2">
    <w:name w:val="WW8Num13z2"/>
    <w:qFormat/>
    <w:rPr>
      <w:b/>
      <w:sz w:val="20"/>
      <w:szCs w:val="20"/>
    </w:rPr>
  </w:style>
  <w:style w:type="character" w:styleId="WW8Num14z0">
    <w:name w:val="WW8Num14z0"/>
    <w:qFormat/>
    <w:rPr>
      <w:b/>
      <w:i w:val="false"/>
      <w:sz w:val="20"/>
    </w:rPr>
  </w:style>
  <w:style w:type="character" w:styleId="WW8Num14z1">
    <w:name w:val="WW8Num14z1"/>
    <w:qFormat/>
    <w:rPr>
      <w:b/>
      <w:i w:val="false"/>
      <w:color w:val="00000A"/>
      <w:sz w:val="20"/>
    </w:rPr>
  </w:style>
  <w:style w:type="character" w:styleId="WW8Num15z1">
    <w:name w:val="WW8Num15z1"/>
    <w:qFormat/>
    <w:rPr>
      <w:rFonts w:ascii="OpenSymbol" w:hAnsi="OpenSymbol" w:cs="OpenSymbol"/>
    </w:rPr>
  </w:style>
  <w:style w:type="character" w:styleId="WW8Num15z2">
    <w:name w:val="WW8Num15z2"/>
    <w:qFormat/>
    <w:rPr>
      <w:b/>
      <w:i w:val="false"/>
      <w:color w:val="00000A"/>
      <w:sz w:val="20"/>
      <w:szCs w:val="20"/>
    </w:rPr>
  </w:style>
  <w:style w:type="character" w:styleId="WW8Num15z3">
    <w:name w:val="WW8Num15z3"/>
    <w:qFormat/>
    <w:rPr>
      <w:color w:val="00000A"/>
    </w:rPr>
  </w:style>
  <w:style w:type="character" w:styleId="WW8Num16z0">
    <w:name w:val="WW8Num16z0"/>
    <w:qFormat/>
    <w:rPr>
      <w:rFonts w:ascii="Wingdings 2" w:hAnsi="Wingdings 2" w:cs="Wingdings 2"/>
      <w:b/>
      <w:i w:val="false"/>
    </w:rPr>
  </w:style>
  <w:style w:type="character" w:styleId="WW8Num16z1">
    <w:name w:val="WW8Num16z1"/>
    <w:qFormat/>
    <w:rPr>
      <w:rFonts w:ascii="OpenSymbol" w:hAnsi="OpenSymbol" w:cs="OpenSymbol"/>
      <w:b w:val="false"/>
      <w:i w:val="false"/>
      <w:color w:val="000000"/>
    </w:rPr>
  </w:style>
  <w:style w:type="character" w:styleId="WW8Num18z2">
    <w:name w:val="WW8Num18z2"/>
    <w:qFormat/>
    <w:rPr>
      <w:b w:val="false"/>
      <w:i w:val="false"/>
      <w:color w:val="00000A"/>
    </w:rPr>
  </w:style>
  <w:style w:type="character" w:styleId="WW8Num20z2">
    <w:name w:val="WW8Num20z2"/>
    <w:qFormat/>
    <w:rPr>
      <w:b w:val="false"/>
      <w:i w:val="false"/>
      <w:color w:val="00000A"/>
    </w:rPr>
  </w:style>
  <w:style w:type="character" w:styleId="WW8Num22z1">
    <w:name w:val="WW8Num22z1"/>
    <w:qFormat/>
    <w:rPr>
      <w:rFonts w:cs="Times New Roman"/>
      <w:b/>
      <w:i w:val="false"/>
      <w:color w:val="00000A"/>
      <w:sz w:val="20"/>
      <w:szCs w:val="20"/>
    </w:rPr>
  </w:style>
  <w:style w:type="character" w:styleId="WW8Num22z2">
    <w:name w:val="WW8Num22z2"/>
    <w:qFormat/>
    <w:rPr>
      <w:b/>
      <w:sz w:val="20"/>
      <w:szCs w:val="20"/>
    </w:rPr>
  </w:style>
  <w:style w:type="character" w:styleId="WW8Num23z0">
    <w:name w:val="WW8Num23z0"/>
    <w:qFormat/>
    <w:rPr>
      <w:rFonts w:eastAsia="Arial Unicode MS"/>
    </w:rPr>
  </w:style>
  <w:style w:type="character" w:styleId="WW8Num24z0">
    <w:name w:val="WW8Num24z0"/>
    <w:qFormat/>
    <w:rPr>
      <w:b/>
    </w:rPr>
  </w:style>
  <w:style w:type="character" w:styleId="WW8Num24z1">
    <w:name w:val="WW8Num24z1"/>
    <w:qFormat/>
    <w:rPr>
      <w:rFonts w:ascii="Arial" w:hAnsi="Arial" w:cs="Arial"/>
      <w:b w:val="false"/>
      <w:color w:val="00000A"/>
      <w:sz w:val="20"/>
      <w:szCs w:val="20"/>
    </w:rPr>
  </w:style>
  <w:style w:type="character" w:styleId="WW8Num24z2">
    <w:name w:val="WW8Num24z2"/>
    <w:qFormat/>
    <w:rPr>
      <w:b w:val="false"/>
      <w:color w:val="00000A"/>
      <w:sz w:val="20"/>
      <w:szCs w:val="20"/>
    </w:rPr>
  </w:style>
  <w:style w:type="character" w:styleId="WW8Num25z0">
    <w:name w:val="WW8Num25z0"/>
    <w:qFormat/>
    <w:rPr>
      <w:rFonts w:cs="Times New Roman"/>
      <w:b/>
      <w:iCs/>
      <w:sz w:val="22"/>
      <w:szCs w:val="22"/>
    </w:rPr>
  </w:style>
  <w:style w:type="character" w:styleId="WW8Num25z1">
    <w:name w:val="WW8Num25z1"/>
    <w:qFormat/>
    <w:rPr>
      <w:rFonts w:eastAsia="Arial" w:cs="Times New Roman"/>
      <w:b/>
      <w:bCs/>
      <w:i w:val="false"/>
      <w:iCs/>
      <w:color w:val="00000A"/>
      <w:sz w:val="20"/>
      <w:szCs w:val="20"/>
    </w:rPr>
  </w:style>
  <w:style w:type="character" w:styleId="WW8Num25z2">
    <w:name w:val="WW8Num25z2"/>
    <w:qFormat/>
    <w:rPr>
      <w:b/>
      <w:sz w:val="20"/>
      <w:szCs w:val="20"/>
    </w:rPr>
  </w:style>
  <w:style w:type="character" w:styleId="WW8Num26z0">
    <w:name w:val="WW8Num26z0"/>
    <w:qFormat/>
    <w:rPr>
      <w:b/>
      <w:i w:val="false"/>
    </w:rPr>
  </w:style>
  <w:style w:type="character" w:styleId="WW8Num26z1">
    <w:name w:val="WW8Num26z1"/>
    <w:qFormat/>
    <w:rPr>
      <w:b/>
      <w:i w:val="false"/>
      <w:color w:val="00000A"/>
    </w:rPr>
  </w:style>
  <w:style w:type="character" w:styleId="WW8Num26z2">
    <w:name w:val="WW8Num26z2"/>
    <w:qFormat/>
    <w:rPr>
      <w:b w:val="false"/>
      <w:i w:val="false"/>
    </w:rPr>
  </w:style>
  <w:style w:type="character" w:styleId="WW8Num29z0">
    <w:name w:val="WW8Num29z0"/>
    <w:qFormat/>
    <w:rPr>
      <w:color w:val="0000FF"/>
    </w:rPr>
  </w:style>
  <w:style w:type="character" w:styleId="WW8Num30z0">
    <w:name w:val="WW8Num30z0"/>
    <w:qFormat/>
    <w:rPr>
      <w:b w:val="false"/>
    </w:rPr>
  </w:style>
  <w:style w:type="character" w:styleId="WW8Num32z0">
    <w:name w:val="WW8Num32z0"/>
    <w:qFormat/>
    <w:rPr>
      <w:rFonts w:ascii="Ecofont_Spranq_eco_Sans" w:hAnsi="Ecofont_Spranq_eco_Sans" w:cs="Arial"/>
      <w:i/>
      <w:color w:val="FF0000"/>
    </w:rPr>
  </w:style>
  <w:style w:type="character" w:styleId="WW8Num34z0">
    <w:name w:val="WW8Num34z0"/>
    <w:qFormat/>
    <w:rPr>
      <w:b/>
    </w:rPr>
  </w:style>
  <w:style w:type="character" w:styleId="WW8Num34z1">
    <w:name w:val="WW8Num34z1"/>
    <w:qFormat/>
    <w:rPr>
      <w:b w:val="false"/>
      <w:i w:val="false"/>
      <w:color w:val="00000A"/>
    </w:rPr>
  </w:style>
  <w:style w:type="character" w:styleId="WW8Num35z0">
    <w:name w:val="WW8Num35z0"/>
    <w:qFormat/>
    <w:rPr>
      <w:iCs/>
      <w:lang w:val="pt-BR"/>
    </w:rPr>
  </w:style>
  <w:style w:type="character" w:styleId="WW8Num35z1">
    <w:name w:val="WW8Num35z1"/>
    <w:qFormat/>
    <w:rPr>
      <w:rFonts w:cs="Times New Roman"/>
      <w:b/>
      <w:bCs/>
      <w:i w:val="false"/>
      <w:iCs/>
      <w:color w:val="00000A"/>
      <w:sz w:val="20"/>
      <w:szCs w:val="20"/>
    </w:rPr>
  </w:style>
  <w:style w:type="character" w:styleId="WW8Num35z2">
    <w:name w:val="WW8Num35z2"/>
    <w:qFormat/>
    <w:rPr>
      <w:rFonts w:cs="Times New Roman"/>
      <w:b/>
      <w:iCs/>
      <w:sz w:val="20"/>
      <w:szCs w:val="20"/>
    </w:rPr>
  </w:style>
  <w:style w:type="character" w:styleId="WW8Num37z1">
    <w:name w:val="WW8Num37z1"/>
    <w:qFormat/>
    <w:rPr>
      <w:b/>
      <w:i w:val="false"/>
      <w:color w:val="00000A"/>
      <w:sz w:val="20"/>
      <w:szCs w:val="20"/>
    </w:rPr>
  </w:style>
  <w:style w:type="character" w:styleId="WW8Num37z2">
    <w:name w:val="WW8Num37z2"/>
    <w:qFormat/>
    <w:rPr>
      <w:b/>
      <w:sz w:val="20"/>
      <w:szCs w:val="20"/>
    </w:rPr>
  </w:style>
  <w:style w:type="character" w:styleId="WW8Num38z2">
    <w:name w:val="WW8Num38z2"/>
    <w:qFormat/>
    <w:rPr>
      <w:b w:val="false"/>
      <w:i w:val="false"/>
      <w:color w:val="00000A"/>
    </w:rPr>
  </w:style>
  <w:style w:type="character" w:styleId="WW8Num39z0">
    <w:name w:val="WW8Num39z0"/>
    <w:qFormat/>
    <w:rPr>
      <w:b/>
      <w:i w:val="false"/>
    </w:rPr>
  </w:style>
  <w:style w:type="character" w:styleId="WW8Num39z1">
    <w:name w:val="WW8Num39z1"/>
    <w:qFormat/>
    <w:rPr>
      <w:b/>
      <w:i w:val="false"/>
      <w:color w:val="00000A"/>
    </w:rPr>
  </w:style>
  <w:style w:type="character" w:styleId="WW8Num40z0">
    <w:name w:val="WW8Num40z0"/>
    <w:qFormat/>
    <w:rPr>
      <w:rFonts w:cs="Times New Roman"/>
      <w:b/>
      <w:i w:val="false"/>
      <w:sz w:val="20"/>
      <w:szCs w:val="22"/>
    </w:rPr>
  </w:style>
  <w:style w:type="character" w:styleId="WW8Num40z1">
    <w:name w:val="WW8Num40z1"/>
    <w:qFormat/>
    <w:rPr>
      <w:rFonts w:cs="Times New Roman"/>
      <w:b/>
      <w:bCs/>
      <w:i w:val="false"/>
      <w:iCs/>
      <w:color w:val="00000A"/>
      <w:sz w:val="20"/>
      <w:szCs w:val="22"/>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2z2">
    <w:name w:val="WW8Num42z2"/>
    <w:qFormat/>
    <w:rPr>
      <w:b w:val="false"/>
      <w:i w:val="false"/>
      <w:color w:val="00000A"/>
    </w:rPr>
  </w:style>
  <w:style w:type="character" w:styleId="WW8Num43z1">
    <w:name w:val="WW8Num43z1"/>
    <w:qFormat/>
    <w:rPr>
      <w:b/>
      <w:i w:val="false"/>
      <w:color w:val="00000A"/>
      <w:sz w:val="20"/>
      <w:szCs w:val="20"/>
    </w:rPr>
  </w:style>
  <w:style w:type="character" w:styleId="WW8Num43z2">
    <w:name w:val="WW8Num43z2"/>
    <w:qFormat/>
    <w:rPr>
      <w:b/>
      <w:sz w:val="20"/>
      <w:szCs w:val="20"/>
    </w:rPr>
  </w:style>
  <w:style w:type="character" w:styleId="WW8Num44z0">
    <w:name w:val="WW8Num44z0"/>
    <w:qFormat/>
    <w:rPr>
      <w:bCs/>
      <w:iCs/>
    </w:rPr>
  </w:style>
  <w:style w:type="character" w:styleId="WW8Num44z1">
    <w:name w:val="WW8Num44z1"/>
    <w:qFormat/>
    <w:rPr>
      <w:rFonts w:eastAsia="Zurich BT" w:cs="Times New Roman"/>
      <w:b/>
      <w:bCs/>
      <w:iCs/>
      <w:sz w:val="20"/>
      <w:szCs w:val="20"/>
    </w:rPr>
  </w:style>
  <w:style w:type="character" w:styleId="WW8Num44z2">
    <w:name w:val="WW8Num44z2"/>
    <w:qFormat/>
    <w:rPr>
      <w:rFonts w:eastAsia="Arial Unicode MS" w:cs="Times New Roman"/>
      <w:b/>
      <w:bCs/>
      <w:i w:val="false"/>
      <w:iCs w:val="false"/>
      <w:color w:val="000000"/>
      <w:sz w:val="20"/>
      <w:szCs w:val="20"/>
    </w:rPr>
  </w:style>
  <w:style w:type="character" w:styleId="WW8Num44z3">
    <w:name w:val="WW8Num44z3"/>
    <w:qFormat/>
    <w:rPr>
      <w:rFonts w:cs="Times New Roman"/>
      <w:b/>
      <w:bCs/>
      <w:i w:val="false"/>
      <w:iCs w:val="false"/>
      <w:sz w:val="22"/>
      <w:szCs w:val="22"/>
    </w:rPr>
  </w:style>
  <w:style w:type="character" w:styleId="Fontepargpadro2">
    <w:name w:val="Fonte parág. padrão2"/>
    <w:qFormat/>
    <w:rPr/>
  </w:style>
  <w:style w:type="character" w:styleId="WW8Num1z1">
    <w:name w:val="WW8Num1z1"/>
    <w:qFormat/>
    <w:rPr>
      <w:rFonts w:eastAsia="Verdana" w:cs="Times New Roman"/>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8Num15z0">
    <w:name w:val="WW8Num15z0"/>
    <w:qFormat/>
    <w:rPr>
      <w:rFonts w:ascii="Symbol" w:hAnsi="Symbol" w:cs="OpenSymbol"/>
    </w:rPr>
  </w:style>
  <w:style w:type="character" w:styleId="Fontepargpadro1">
    <w:name w:val="Fonte parág. padrão1"/>
    <w:qFormat/>
    <w:rPr/>
  </w:style>
  <w:style w:type="character" w:styleId="RTFNum21">
    <w:name w:val="RTF_Num 2 1"/>
    <w:qFormat/>
    <w:rPr>
      <w:rFonts w:ascii="Symbol" w:hAnsi="Symbol" w:cs="Symbol"/>
    </w:rPr>
  </w:style>
  <w:style w:type="character" w:styleId="Marcas">
    <w:name w:val="Marcas"/>
    <w:qFormat/>
    <w:rPr>
      <w:rFonts w:ascii="OpenSymbol" w:hAnsi="OpenSymbol" w:eastAsia="OpenSymbol" w:cs="OpenSymbol"/>
    </w:rPr>
  </w:style>
  <w:style w:type="character" w:styleId="Smbolosdenumerao">
    <w:name w:val="Símbolos de numeração"/>
    <w:qFormat/>
    <w:rPr/>
  </w:style>
  <w:style w:type="character" w:styleId="RTFNum31">
    <w:name w:val="RTF_Num 3 1"/>
    <w:qFormat/>
    <w:rPr>
      <w:rFonts w:ascii="Symbol" w:hAnsi="Symbol" w:cs="Symbol"/>
    </w:rPr>
  </w:style>
  <w:style w:type="character" w:styleId="RTFNum41">
    <w:name w:val="RTF_Num 4 1"/>
    <w:qFormat/>
    <w:rPr>
      <w:rFonts w:ascii="Symbol" w:hAnsi="Symbol" w:cs="Symbol"/>
    </w:rPr>
  </w:style>
  <w:style w:type="character" w:styleId="WWRTFNum21">
    <w:name w:val="WW-RTF_Num 2 1"/>
    <w:qFormat/>
    <w:rPr>
      <w:rFonts w:ascii="Symbol" w:hAnsi="Symbol" w:cs="Symbol"/>
    </w:rPr>
  </w:style>
  <w:style w:type="character" w:styleId="Character20style">
    <w:name w:val="Character_20_style"/>
    <w:qFormat/>
    <w:rPr/>
  </w:style>
  <w:style w:type="character" w:styleId="Strong">
    <w:name w:val="Strong"/>
    <w:qFormat/>
    <w:rPr>
      <w:b/>
      <w:bCs/>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Internetlink">
    <w:name w:val="Internet link"/>
    <w:qFormat/>
    <w:rPr>
      <w:color w:val="000080"/>
      <w:u w:val="single"/>
    </w:rPr>
  </w:style>
  <w:style w:type="character" w:styleId="FollowedHyperlink">
    <w:name w:val="FollowedHyperlink"/>
    <w:qFormat/>
    <w:rPr>
      <w:color w:val="800080"/>
      <w:u w:val="single"/>
    </w:rPr>
  </w:style>
  <w:style w:type="character" w:styleId="GradeColoridanfase1Char">
    <w:name w:val="Grade Colorida - Ênfase 1 Char"/>
    <w:qFormat/>
    <w:rPr>
      <w:rFonts w:eastAsia="Calibri"/>
      <w:i/>
      <w:iCs/>
      <w:color w:val="000000"/>
      <w:szCs w:val="24"/>
      <w:highlight w:val="yellow"/>
      <w:lang w:bidi="hi-IN"/>
    </w:rPr>
  </w:style>
  <w:style w:type="character" w:styleId="Refdecomentrio1">
    <w:name w:val="Ref. de comentário1"/>
    <w:qFormat/>
    <w:rPr>
      <w:sz w:val="18"/>
      <w:szCs w:val="18"/>
    </w:rPr>
  </w:style>
  <w:style w:type="character" w:styleId="Appleconvertedspace">
    <w:name w:val="apple-converted-space"/>
    <w:qFormat/>
    <w:rPr/>
  </w:style>
  <w:style w:type="character" w:styleId="SubttuloChar">
    <w:name w:val="Subtítulo Char"/>
    <w:basedOn w:val="DefaultParagraphFont"/>
    <w:qFormat/>
    <w:rPr>
      <w:rFonts w:ascii="Arial" w:hAnsi="Arial" w:eastAsia="SimSun" w:cs="Mangal"/>
      <w:i/>
      <w:iCs/>
      <w:sz w:val="28"/>
      <w:szCs w:val="28"/>
      <w:lang w:eastAsia="zh-CN" w:bidi="hi-IN"/>
    </w:rPr>
  </w:style>
  <w:style w:type="character" w:styleId="ListLabel21">
    <w:name w:val="ListLabel 21"/>
    <w:qFormat/>
    <w:rPr>
      <w:rFonts w:ascii="Times New Roman" w:hAnsi="Times New Roman"/>
      <w:b/>
      <w:sz w:val="22"/>
    </w:rPr>
  </w:style>
  <w:style w:type="character" w:styleId="ListLabel22">
    <w:name w:val="ListLabel 22"/>
    <w:qFormat/>
    <w:rPr>
      <w:rFonts w:ascii="Times New Roman" w:hAnsi="Times New Roman"/>
      <w:b w:val="false"/>
      <w:color w:val="00000A"/>
      <w:sz w:val="22"/>
      <w:szCs w:val="20"/>
    </w:rPr>
  </w:style>
  <w:style w:type="character" w:styleId="ListLabel23">
    <w:name w:val="ListLabel 23"/>
    <w:qFormat/>
    <w:rPr>
      <w:rFonts w:ascii="Times New Roman" w:hAnsi="Times New Roman"/>
      <w:b w:val="false"/>
      <w:color w:val="00000A"/>
      <w:sz w:val="22"/>
      <w:szCs w:val="20"/>
    </w:rPr>
  </w:style>
  <w:style w:type="character" w:styleId="ListLabel24">
    <w:name w:val="ListLabel 24"/>
    <w:qFormat/>
    <w:rPr>
      <w:sz w:val="20"/>
      <w:szCs w:val="20"/>
    </w:rPr>
  </w:style>
  <w:style w:type="character" w:styleId="ListLabel25">
    <w:name w:val="ListLabel 25"/>
    <w:qFormat/>
    <w:rPr>
      <w:b/>
    </w:rPr>
  </w:style>
  <w:style w:type="character" w:styleId="ListLabel26">
    <w:name w:val="ListLabel 26"/>
    <w:qFormat/>
    <w:rPr>
      <w:rFonts w:ascii="Times New Roman" w:hAnsi="Times New Roman"/>
      <w:b w:val="false"/>
      <w:color w:val="00000A"/>
      <w:sz w:val="22"/>
      <w:szCs w:val="20"/>
    </w:rPr>
  </w:style>
  <w:style w:type="character" w:styleId="ListLabel27">
    <w:name w:val="ListLabel 27"/>
    <w:qFormat/>
    <w:rPr>
      <w:rFonts w:ascii="Times New Roman" w:hAnsi="Times New Roman"/>
      <w:b w:val="false"/>
      <w:color w:val="00000A"/>
      <w:sz w:val="22"/>
      <w:szCs w:val="20"/>
    </w:rPr>
  </w:style>
  <w:style w:type="character" w:styleId="ListLabel28">
    <w:name w:val="ListLabel 28"/>
    <w:qFormat/>
    <w:rPr>
      <w:rFonts w:eastAsia="TimesNewRomanPSMT, 'MS Mincho'" w:cs="Arial"/>
      <w:b/>
      <w:bCs/>
      <w:color w:val="000000"/>
    </w:rPr>
  </w:style>
  <w:style w:type="character" w:styleId="ListLabel29">
    <w:name w:val="ListLabel 29"/>
    <w:qFormat/>
    <w:rPr>
      <w:rFonts w:eastAsia="TimesNewRomanPSMT, 'MS Mincho'" w:cs="Arial"/>
      <w:b/>
      <w:bCs/>
      <w:color w:val="000000"/>
    </w:rPr>
  </w:style>
  <w:style w:type="character" w:styleId="ListLabel30">
    <w:name w:val="ListLabel 30"/>
    <w:qFormat/>
    <w:rPr>
      <w:rFonts w:eastAsia="TimesNewRomanPSMT, 'MS Mincho'" w:cs="Arial"/>
      <w:b/>
      <w:bCs/>
      <w:color w:val="000000"/>
    </w:rPr>
  </w:style>
  <w:style w:type="character" w:styleId="ListLabel31">
    <w:name w:val="ListLabel 31"/>
    <w:qFormat/>
    <w:rPr>
      <w:rFonts w:eastAsia="TimesNewRomanPSMT, 'MS Mincho'" w:cs="Arial"/>
      <w:b/>
      <w:bCs/>
      <w:color w:val="000000"/>
    </w:rPr>
  </w:style>
  <w:style w:type="character" w:styleId="ListLabel32">
    <w:name w:val="ListLabel 32"/>
    <w:qFormat/>
    <w:rPr>
      <w:rFonts w:eastAsia="TimesNewRomanPSMT, 'MS Mincho'" w:cs="Arial"/>
      <w:b/>
      <w:bCs/>
      <w:color w:val="000000"/>
    </w:rPr>
  </w:style>
  <w:style w:type="character" w:styleId="ListLabel33">
    <w:name w:val="ListLabel 33"/>
    <w:qFormat/>
    <w:rPr>
      <w:rFonts w:eastAsia="TimesNewRomanPSMT, 'MS Mincho'" w:cs="Arial"/>
      <w:b/>
      <w:bCs/>
      <w:color w:val="000000"/>
    </w:rPr>
  </w:style>
  <w:style w:type="character" w:styleId="ListLabel34">
    <w:name w:val="ListLabel 34"/>
    <w:qFormat/>
    <w:rPr>
      <w:rFonts w:eastAsia="TimesNewRomanPSMT, 'MS Mincho'" w:cs="Arial"/>
      <w:b/>
      <w:bCs/>
      <w:color w:val="000000"/>
    </w:rPr>
  </w:style>
  <w:style w:type="character" w:styleId="ListLabel35">
    <w:name w:val="ListLabel 35"/>
    <w:qFormat/>
    <w:rPr>
      <w:rFonts w:eastAsia="TimesNewRomanPSMT, 'MS Mincho'" w:cs="Arial"/>
      <w:b/>
      <w:bCs/>
      <w:color w:val="000000"/>
    </w:rPr>
  </w:style>
  <w:style w:type="character" w:styleId="ListLabel36">
    <w:name w:val="ListLabel 36"/>
    <w:qFormat/>
    <w:rPr>
      <w:rFonts w:ascii="Times New Roman" w:hAnsi="Times New Roman"/>
      <w:b/>
    </w:rPr>
  </w:style>
  <w:style w:type="character" w:styleId="ListLabel37">
    <w:name w:val="ListLabel 37"/>
    <w:qFormat/>
    <w:rPr>
      <w:rFonts w:ascii="Times New Roman" w:hAnsi="Times New Roman"/>
      <w:b/>
      <w:bCs/>
      <w:i w:val="false"/>
      <w:color w:val="00000A"/>
      <w:sz w:val="22"/>
    </w:rPr>
  </w:style>
  <w:style w:type="character" w:styleId="ListLabel38">
    <w:name w:val="ListLabel 38"/>
    <w:qFormat/>
    <w:rPr>
      <w:rFonts w:ascii="Times New Roman" w:hAnsi="Times New Roman"/>
      <w:b/>
      <w:bCs/>
      <w:i w:val="false"/>
      <w:color w:val="00000A"/>
    </w:rPr>
  </w:style>
  <w:style w:type="character" w:styleId="ListLabel39">
    <w:name w:val="ListLabel 39"/>
    <w:qFormat/>
    <w:rPr>
      <w:rFonts w:eastAsia="TimesNewRomanPSMT, 'MS Mincho'" w:cs="Arial"/>
      <w:b/>
      <w:bCs/>
      <w:color w:val="000000"/>
    </w:rPr>
  </w:style>
  <w:style w:type="character" w:styleId="ListLabel40">
    <w:name w:val="ListLabel 40"/>
    <w:qFormat/>
    <w:rPr>
      <w:rFonts w:eastAsia="TimesNewRomanPSMT, 'MS Mincho'" w:cs="Arial"/>
      <w:b/>
      <w:bCs/>
      <w:color w:val="000000"/>
    </w:rPr>
  </w:style>
  <w:style w:type="character" w:styleId="ListLabel41">
    <w:name w:val="ListLabel 41"/>
    <w:qFormat/>
    <w:rPr>
      <w:rFonts w:eastAsia="TimesNewRomanPSMT, 'MS Mincho'" w:cs="Arial"/>
      <w:b/>
      <w:bCs/>
      <w:color w:val="000000"/>
    </w:rPr>
  </w:style>
  <w:style w:type="character" w:styleId="ListLabel42">
    <w:name w:val="ListLabel 42"/>
    <w:qFormat/>
    <w:rPr>
      <w:rFonts w:eastAsia="TimesNewRomanPSMT, 'MS Mincho'" w:cs="Arial"/>
      <w:b/>
      <w:bCs/>
      <w:color w:val="000000"/>
    </w:rPr>
  </w:style>
  <w:style w:type="character" w:styleId="ListLabel43">
    <w:name w:val="ListLabel 43"/>
    <w:qFormat/>
    <w:rPr>
      <w:rFonts w:eastAsia="TimesNewRomanPSMT, 'MS Mincho'" w:cs="Arial"/>
      <w:b/>
      <w:bCs/>
      <w:color w:val="000000"/>
    </w:rPr>
  </w:style>
  <w:style w:type="character" w:styleId="ListLabel44">
    <w:name w:val="ListLabel 44"/>
    <w:qFormat/>
    <w:rPr>
      <w:rFonts w:eastAsia="TimesNewRomanPSMT, 'MS Mincho'" w:cs="Arial"/>
      <w:b/>
      <w:bCs/>
      <w:color w:val="000000"/>
    </w:rPr>
  </w:style>
  <w:style w:type="character" w:styleId="ListLabel45">
    <w:name w:val="ListLabel 45"/>
    <w:qFormat/>
    <w:rPr>
      <w:rFonts w:eastAsia="TimesNewRomanPSMT, 'MS Mincho'" w:cs="Arial"/>
      <w:b/>
      <w:bCs/>
      <w:color w:val="000000"/>
    </w:rPr>
  </w:style>
  <w:style w:type="character" w:styleId="ListLabel46">
    <w:name w:val="ListLabel 46"/>
    <w:qFormat/>
    <w:rPr>
      <w:rFonts w:eastAsia="TimesNewRomanPSMT, 'MS Mincho'" w:cs="Arial"/>
      <w:b/>
      <w:bCs/>
      <w:color w:val="000000"/>
    </w:rPr>
  </w:style>
  <w:style w:type="character" w:styleId="ListLabel47">
    <w:name w:val="ListLabel 47"/>
    <w:qFormat/>
    <w:rPr>
      <w:rFonts w:cs="OpenSymbol"/>
      <w:color w:val="00000A"/>
    </w:rPr>
  </w:style>
  <w:style w:type="character" w:styleId="ListLabel48">
    <w:name w:val="ListLabel 48"/>
    <w:qFormat/>
    <w:rPr>
      <w:b/>
      <w:sz w:val="20"/>
      <w:szCs w:val="20"/>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ascii="Times New Roman" w:hAnsi="Times New Roman"/>
      <w:b/>
    </w:rPr>
  </w:style>
  <w:style w:type="character" w:styleId="ListLabel53">
    <w:name w:val="ListLabel 53"/>
    <w:qFormat/>
    <w:rPr>
      <w:b/>
      <w:bCs/>
      <w:i w:val="false"/>
      <w:color w:val="00000A"/>
    </w:rPr>
  </w:style>
  <w:style w:type="character" w:styleId="ListLabel54">
    <w:name w:val="ListLabel 54"/>
    <w:qFormat/>
    <w:rPr>
      <w:b/>
      <w:bCs/>
      <w:i w:val="false"/>
      <w:color w:val="00000A"/>
    </w:rPr>
  </w:style>
  <w:style w:type="character" w:styleId="ListLabel55">
    <w:name w:val="ListLabel 55"/>
    <w:qFormat/>
    <w:rPr>
      <w:rFonts w:cs="Wingdings 2"/>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Wingdings 2"/>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Wingdings 2"/>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Arial"/>
      <w:b/>
    </w:rPr>
  </w:style>
  <w:style w:type="character" w:styleId="ListLabel65">
    <w:name w:val="ListLabel 65"/>
    <w:qFormat/>
    <w:rPr>
      <w:b w:val="false"/>
    </w:rPr>
  </w:style>
  <w:style w:type="character" w:styleId="ListLabel66">
    <w:name w:val="ListLabel 66"/>
    <w:qFormat/>
    <w:rPr>
      <w:b w:val="false"/>
    </w:rPr>
  </w:style>
  <w:style w:type="character" w:styleId="ListLabel67">
    <w:name w:val="ListLabel 67"/>
    <w:qFormat/>
    <w:rPr>
      <w:rFonts w:ascii="Times New Roman" w:hAnsi="Times New Roman"/>
      <w:b/>
      <w:sz w:val="22"/>
    </w:rPr>
  </w:style>
  <w:style w:type="character" w:styleId="ListLabel68">
    <w:name w:val="ListLabel 68"/>
    <w:qFormat/>
    <w:rPr>
      <w:rFonts w:ascii="Times New Roman" w:hAnsi="Times New Roman"/>
      <w:b w:val="false"/>
      <w:color w:val="00000A"/>
      <w:sz w:val="22"/>
      <w:szCs w:val="20"/>
    </w:rPr>
  </w:style>
  <w:style w:type="character" w:styleId="ListLabel69">
    <w:name w:val="ListLabel 69"/>
    <w:qFormat/>
    <w:rPr>
      <w:rFonts w:ascii="Times New Roman" w:hAnsi="Times New Roman"/>
      <w:b w:val="false"/>
      <w:color w:val="00000A"/>
      <w:sz w:val="22"/>
      <w:szCs w:val="20"/>
    </w:rPr>
  </w:style>
  <w:style w:type="character" w:styleId="ListLabel70">
    <w:name w:val="ListLabel 70"/>
    <w:qFormat/>
    <w:rPr>
      <w:sz w:val="20"/>
      <w:szCs w:val="20"/>
    </w:rPr>
  </w:style>
  <w:style w:type="character" w:styleId="ListLabel71">
    <w:name w:val="ListLabel 71"/>
    <w:qFormat/>
    <w:rPr>
      <w:b/>
    </w:rPr>
  </w:style>
  <w:style w:type="character" w:styleId="ListLabel72">
    <w:name w:val="ListLabel 72"/>
    <w:qFormat/>
    <w:rPr>
      <w:rFonts w:ascii="Times New Roman" w:hAnsi="Times New Roman"/>
      <w:b w:val="false"/>
      <w:color w:val="00000A"/>
      <w:sz w:val="22"/>
      <w:szCs w:val="20"/>
    </w:rPr>
  </w:style>
  <w:style w:type="character" w:styleId="ListLabel73">
    <w:name w:val="ListLabel 73"/>
    <w:qFormat/>
    <w:rPr>
      <w:rFonts w:ascii="Times New Roman" w:hAnsi="Times New Roman"/>
      <w:b w:val="false"/>
      <w:color w:val="00000A"/>
      <w:sz w:val="22"/>
      <w:szCs w:val="20"/>
    </w:rPr>
  </w:style>
  <w:style w:type="character" w:styleId="ListLabel74">
    <w:name w:val="ListLabel 74"/>
    <w:qFormat/>
    <w:rPr>
      <w:rFonts w:eastAsia="TimesNewRomanPSMT, 'MS Mincho'" w:cs="Arial"/>
      <w:b/>
      <w:bCs/>
      <w:color w:val="000000"/>
    </w:rPr>
  </w:style>
  <w:style w:type="character" w:styleId="ListLabel75">
    <w:name w:val="ListLabel 75"/>
    <w:qFormat/>
    <w:rPr>
      <w:rFonts w:eastAsia="TimesNewRomanPSMT, 'MS Mincho'" w:cs="Arial"/>
      <w:b/>
      <w:bCs/>
      <w:color w:val="000000"/>
    </w:rPr>
  </w:style>
  <w:style w:type="character" w:styleId="ListLabel76">
    <w:name w:val="ListLabel 76"/>
    <w:qFormat/>
    <w:rPr>
      <w:rFonts w:eastAsia="TimesNewRomanPSMT, 'MS Mincho'" w:cs="Arial"/>
      <w:b/>
      <w:bCs/>
      <w:color w:val="000000"/>
    </w:rPr>
  </w:style>
  <w:style w:type="character" w:styleId="ListLabel77">
    <w:name w:val="ListLabel 77"/>
    <w:qFormat/>
    <w:rPr>
      <w:rFonts w:eastAsia="TimesNewRomanPSMT, 'MS Mincho'" w:cs="Arial"/>
      <w:b/>
      <w:bCs/>
      <w:color w:val="000000"/>
    </w:rPr>
  </w:style>
  <w:style w:type="character" w:styleId="ListLabel78">
    <w:name w:val="ListLabel 78"/>
    <w:qFormat/>
    <w:rPr>
      <w:rFonts w:eastAsia="TimesNewRomanPSMT, 'MS Mincho'" w:cs="Arial"/>
      <w:b/>
      <w:bCs/>
      <w:color w:val="000000"/>
    </w:rPr>
  </w:style>
  <w:style w:type="character" w:styleId="ListLabel79">
    <w:name w:val="ListLabel 79"/>
    <w:qFormat/>
    <w:rPr>
      <w:rFonts w:eastAsia="TimesNewRomanPSMT, 'MS Mincho'" w:cs="Arial"/>
      <w:b/>
      <w:bCs/>
      <w:color w:val="000000"/>
    </w:rPr>
  </w:style>
  <w:style w:type="character" w:styleId="ListLabel80">
    <w:name w:val="ListLabel 80"/>
    <w:qFormat/>
    <w:rPr>
      <w:rFonts w:eastAsia="TimesNewRomanPSMT, 'MS Mincho'" w:cs="Arial"/>
      <w:b/>
      <w:bCs/>
      <w:color w:val="000000"/>
    </w:rPr>
  </w:style>
  <w:style w:type="character" w:styleId="ListLabel81">
    <w:name w:val="ListLabel 81"/>
    <w:qFormat/>
    <w:rPr>
      <w:rFonts w:eastAsia="TimesNewRomanPSMT, 'MS Mincho'" w:cs="Arial"/>
      <w:b/>
      <w:bCs/>
      <w:color w:val="000000"/>
    </w:rPr>
  </w:style>
  <w:style w:type="character" w:styleId="ListLabel82">
    <w:name w:val="ListLabel 82"/>
    <w:qFormat/>
    <w:rPr>
      <w:rFonts w:ascii="Times New Roman" w:hAnsi="Times New Roman"/>
      <w:b/>
    </w:rPr>
  </w:style>
  <w:style w:type="character" w:styleId="ListLabel83">
    <w:name w:val="ListLabel 83"/>
    <w:qFormat/>
    <w:rPr>
      <w:rFonts w:ascii="Times New Roman" w:hAnsi="Times New Roman"/>
      <w:b/>
      <w:bCs/>
      <w:i w:val="false"/>
      <w:color w:val="00000A"/>
      <w:sz w:val="22"/>
    </w:rPr>
  </w:style>
  <w:style w:type="character" w:styleId="ListLabel84">
    <w:name w:val="ListLabel 84"/>
    <w:qFormat/>
    <w:rPr>
      <w:rFonts w:ascii="Times New Roman" w:hAnsi="Times New Roman"/>
      <w:b/>
      <w:bCs/>
      <w:i w:val="false"/>
      <w:color w:val="00000A"/>
    </w:rPr>
  </w:style>
  <w:style w:type="character" w:styleId="ListLabel85">
    <w:name w:val="ListLabel 85"/>
    <w:qFormat/>
    <w:rPr>
      <w:rFonts w:ascii="Times New Roman" w:hAnsi="Times New Roman" w:cs="Symbol"/>
      <w:b/>
    </w:rPr>
  </w:style>
  <w:style w:type="character" w:styleId="ListLabel86">
    <w:name w:val="ListLabel 86"/>
    <w:qFormat/>
    <w:rPr>
      <w:b/>
      <w:bCs/>
      <w:i w:val="false"/>
      <w:color w:val="00000A"/>
    </w:rPr>
  </w:style>
  <w:style w:type="character" w:styleId="ListLabel87">
    <w:name w:val="ListLabel 87"/>
    <w:qFormat/>
    <w:rPr>
      <w:b/>
      <w:bCs/>
      <w:i w:val="false"/>
      <w:color w:val="00000A"/>
    </w:rPr>
  </w:style>
  <w:style w:type="character" w:styleId="ListLabel88">
    <w:name w:val="ListLabel 88"/>
    <w:qFormat/>
    <w:rPr>
      <w:rFonts w:ascii="Times New Roman" w:hAnsi="Times New Roman"/>
      <w:b/>
      <w:sz w:val="22"/>
    </w:rPr>
  </w:style>
  <w:style w:type="character" w:styleId="ListLabel89">
    <w:name w:val="ListLabel 89"/>
    <w:qFormat/>
    <w:rPr>
      <w:rFonts w:ascii="Times New Roman" w:hAnsi="Times New Roman"/>
      <w:b w:val="false"/>
      <w:color w:val="00000A"/>
      <w:sz w:val="22"/>
      <w:szCs w:val="20"/>
    </w:rPr>
  </w:style>
  <w:style w:type="character" w:styleId="ListLabel90">
    <w:name w:val="ListLabel 90"/>
    <w:qFormat/>
    <w:rPr>
      <w:rFonts w:ascii="Times New Roman" w:hAnsi="Times New Roman"/>
      <w:b w:val="false"/>
      <w:color w:val="00000A"/>
      <w:sz w:val="22"/>
      <w:szCs w:val="20"/>
    </w:rPr>
  </w:style>
  <w:style w:type="character" w:styleId="ListLabel91">
    <w:name w:val="ListLabel 91"/>
    <w:qFormat/>
    <w:rPr>
      <w:sz w:val="20"/>
      <w:szCs w:val="20"/>
    </w:rPr>
  </w:style>
  <w:style w:type="character" w:styleId="ListLabel92">
    <w:name w:val="ListLabel 92"/>
    <w:qFormat/>
    <w:rPr>
      <w:b/>
    </w:rPr>
  </w:style>
  <w:style w:type="character" w:styleId="ListLabel93">
    <w:name w:val="ListLabel 93"/>
    <w:qFormat/>
    <w:rPr>
      <w:rFonts w:ascii="Times New Roman" w:hAnsi="Times New Roman"/>
      <w:b w:val="false"/>
      <w:color w:val="00000A"/>
      <w:sz w:val="22"/>
      <w:szCs w:val="20"/>
    </w:rPr>
  </w:style>
  <w:style w:type="character" w:styleId="ListLabel94">
    <w:name w:val="ListLabel 94"/>
    <w:qFormat/>
    <w:rPr>
      <w:rFonts w:ascii="Times New Roman" w:hAnsi="Times New Roman"/>
      <w:b w:val="false"/>
      <w:color w:val="00000A"/>
      <w:sz w:val="22"/>
      <w:szCs w:val="20"/>
    </w:rPr>
  </w:style>
  <w:style w:type="character" w:styleId="ListLabel95">
    <w:name w:val="ListLabel 95"/>
    <w:qFormat/>
    <w:rPr>
      <w:rFonts w:eastAsia="TimesNewRomanPSMT, 'MS Mincho'" w:cs="Arial"/>
      <w:b/>
      <w:bCs/>
      <w:color w:val="000000"/>
    </w:rPr>
  </w:style>
  <w:style w:type="character" w:styleId="ListLabel96">
    <w:name w:val="ListLabel 96"/>
    <w:qFormat/>
    <w:rPr>
      <w:rFonts w:eastAsia="TimesNewRomanPSMT, 'MS Mincho'" w:cs="Arial"/>
      <w:b/>
      <w:bCs/>
      <w:color w:val="000000"/>
    </w:rPr>
  </w:style>
  <w:style w:type="character" w:styleId="ListLabel97">
    <w:name w:val="ListLabel 97"/>
    <w:qFormat/>
    <w:rPr>
      <w:rFonts w:eastAsia="TimesNewRomanPSMT, 'MS Mincho'" w:cs="Arial"/>
      <w:b/>
      <w:bCs/>
      <w:color w:val="000000"/>
    </w:rPr>
  </w:style>
  <w:style w:type="character" w:styleId="ListLabel98">
    <w:name w:val="ListLabel 98"/>
    <w:qFormat/>
    <w:rPr>
      <w:rFonts w:eastAsia="TimesNewRomanPSMT, 'MS Mincho'" w:cs="Arial"/>
      <w:b/>
      <w:bCs/>
      <w:color w:val="000000"/>
    </w:rPr>
  </w:style>
  <w:style w:type="character" w:styleId="ListLabel99">
    <w:name w:val="ListLabel 99"/>
    <w:qFormat/>
    <w:rPr>
      <w:rFonts w:eastAsia="TimesNewRomanPSMT, 'MS Mincho'" w:cs="Arial"/>
      <w:b/>
      <w:bCs/>
      <w:color w:val="000000"/>
    </w:rPr>
  </w:style>
  <w:style w:type="character" w:styleId="ListLabel100">
    <w:name w:val="ListLabel 100"/>
    <w:qFormat/>
    <w:rPr>
      <w:rFonts w:eastAsia="TimesNewRomanPSMT, 'MS Mincho'" w:cs="Arial"/>
      <w:b/>
      <w:bCs/>
      <w:color w:val="000000"/>
    </w:rPr>
  </w:style>
  <w:style w:type="character" w:styleId="ListLabel101">
    <w:name w:val="ListLabel 101"/>
    <w:qFormat/>
    <w:rPr>
      <w:rFonts w:eastAsia="TimesNewRomanPSMT, 'MS Mincho'" w:cs="Arial"/>
      <w:b/>
      <w:bCs/>
      <w:color w:val="000000"/>
    </w:rPr>
  </w:style>
  <w:style w:type="character" w:styleId="ListLabel102">
    <w:name w:val="ListLabel 102"/>
    <w:qFormat/>
    <w:rPr>
      <w:rFonts w:eastAsia="TimesNewRomanPSMT, 'MS Mincho'" w:cs="Arial"/>
      <w:b/>
      <w:bCs/>
      <w:color w:val="000000"/>
    </w:rPr>
  </w:style>
  <w:style w:type="character" w:styleId="ListLabel103">
    <w:name w:val="ListLabel 103"/>
    <w:qFormat/>
    <w:rPr>
      <w:rFonts w:ascii="Times New Roman" w:hAnsi="Times New Roman"/>
      <w:b/>
    </w:rPr>
  </w:style>
  <w:style w:type="character" w:styleId="ListLabel104">
    <w:name w:val="ListLabel 104"/>
    <w:qFormat/>
    <w:rPr>
      <w:rFonts w:ascii="Times New Roman" w:hAnsi="Times New Roman"/>
      <w:b/>
      <w:bCs/>
      <w:i w:val="false"/>
      <w:color w:val="00000A"/>
      <w:sz w:val="22"/>
    </w:rPr>
  </w:style>
  <w:style w:type="character" w:styleId="ListLabel105">
    <w:name w:val="ListLabel 105"/>
    <w:qFormat/>
    <w:rPr>
      <w:rFonts w:ascii="Times New Roman" w:hAnsi="Times New Roman"/>
      <w:b/>
      <w:bCs/>
      <w:i w:val="false"/>
      <w:color w:val="00000A"/>
    </w:rPr>
  </w:style>
  <w:style w:type="character" w:styleId="ListLabel106">
    <w:name w:val="ListLabel 106"/>
    <w:qFormat/>
    <w:rPr>
      <w:rFonts w:ascii="Times New Roman" w:hAnsi="Times New Roman" w:cs="Symbol"/>
      <w:b/>
    </w:rPr>
  </w:style>
  <w:style w:type="character" w:styleId="ListLabel107">
    <w:name w:val="ListLabel 107"/>
    <w:qFormat/>
    <w:rPr>
      <w:b/>
      <w:bCs/>
      <w:i w:val="false"/>
      <w:color w:val="00000A"/>
    </w:rPr>
  </w:style>
  <w:style w:type="character" w:styleId="ListLabel108">
    <w:name w:val="ListLabel 108"/>
    <w:qFormat/>
    <w:rPr>
      <w:b/>
      <w:bCs/>
      <w:i w:val="false"/>
      <w:color w:val="00000A"/>
    </w:rPr>
  </w:style>
  <w:style w:type="character" w:styleId="Fontepare1gpadre3o">
    <w:name w:val="Fonte paráe1g. padrãe3o"/>
    <w:qFormat/>
    <w:rPr/>
  </w:style>
  <w:style w:type="character" w:styleId="Fontepargpadro">
    <w:name w:val="Fonte parág. padrão"/>
    <w:qFormat/>
    <w:rPr/>
  </w:style>
  <w:style w:type="character" w:styleId="Linkdainternetvisitado">
    <w:name w:val="Link da internet visitado"/>
    <w:rPr>
      <w:color w:val="800000"/>
      <w:u w:val="single"/>
      <w:lang w:val="zxx" w:eastAsia="zxx" w:bidi="zxx"/>
    </w:rPr>
  </w:style>
  <w:style w:type="character" w:styleId="ListLabel109">
    <w:name w:val="ListLabel 109"/>
    <w:qFormat/>
    <w:rPr>
      <w:rFonts w:ascii="Arial" w:hAnsi="Arial"/>
      <w:b/>
      <w:sz w:val="20"/>
    </w:rPr>
  </w:style>
  <w:style w:type="character" w:styleId="ListLabel110">
    <w:name w:val="ListLabel 110"/>
    <w:qFormat/>
    <w:rPr>
      <w:rFonts w:ascii="Arial" w:hAnsi="Arial"/>
      <w:b/>
      <w:color w:val="00000A"/>
      <w:sz w:val="20"/>
      <w:szCs w:val="20"/>
    </w:rPr>
  </w:style>
  <w:style w:type="character" w:styleId="ListLabel111">
    <w:name w:val="ListLabel 111"/>
    <w:qFormat/>
    <w:rPr>
      <w:rFonts w:ascii="Times New Roman" w:hAnsi="Times New Roman"/>
      <w:b/>
      <w:color w:val="00000A"/>
      <w:sz w:val="22"/>
      <w:szCs w:val="20"/>
    </w:rPr>
  </w:style>
  <w:style w:type="character" w:styleId="ListLabel112">
    <w:name w:val="ListLabel 112"/>
    <w:qFormat/>
    <w:rPr>
      <w:sz w:val="20"/>
      <w:szCs w:val="20"/>
    </w:rPr>
  </w:style>
  <w:style w:type="character" w:styleId="ListLabel113">
    <w:name w:val="ListLabel 113"/>
    <w:qFormat/>
    <w:rPr>
      <w:b/>
    </w:rPr>
  </w:style>
  <w:style w:type="character" w:styleId="ListLabel114">
    <w:name w:val="ListLabel 114"/>
    <w:qFormat/>
    <w:rPr>
      <w:b w:val="false"/>
      <w:color w:val="00000A"/>
      <w:sz w:val="22"/>
      <w:szCs w:val="20"/>
    </w:rPr>
  </w:style>
  <w:style w:type="character" w:styleId="ListLabel115">
    <w:name w:val="ListLabel 115"/>
    <w:qFormat/>
    <w:rPr>
      <w:b w:val="false"/>
      <w:color w:val="00000A"/>
      <w:sz w:val="22"/>
      <w:szCs w:val="20"/>
    </w:rPr>
  </w:style>
  <w:style w:type="character" w:styleId="ListLabel116">
    <w:name w:val="ListLabel 116"/>
    <w:qFormat/>
    <w:rPr>
      <w:rFonts w:ascii="Calibri Light" w:hAnsi="Calibri Light" w:cs="Wingdings"/>
      <w:sz w:val="24"/>
    </w:rPr>
  </w:style>
  <w:style w:type="character" w:styleId="ListLabel117">
    <w:name w:val="ListLabel 117"/>
    <w:qFormat/>
    <w:rPr>
      <w:rFonts w:cs="Wingdings"/>
    </w:rPr>
  </w:style>
  <w:style w:type="character" w:styleId="ListLabel118">
    <w:name w:val="ListLabel 118"/>
    <w:qFormat/>
    <w:rPr>
      <w:rFonts w:cs="Wingdings"/>
    </w:rPr>
  </w:style>
  <w:style w:type="character" w:styleId="ListLabel119">
    <w:name w:val="ListLabel 119"/>
    <w:qFormat/>
    <w:rPr>
      <w:rFonts w:cs="Wingdings"/>
    </w:rPr>
  </w:style>
  <w:style w:type="character" w:styleId="ListLabel120">
    <w:name w:val="ListLabel 120"/>
    <w:qFormat/>
    <w:rPr>
      <w:rFonts w:cs="Wingdings"/>
    </w:rPr>
  </w:style>
  <w:style w:type="character" w:styleId="ListLabel121">
    <w:name w:val="ListLabel 121"/>
    <w:qFormat/>
    <w:rPr>
      <w:rFonts w:cs="Wingdings"/>
    </w:rPr>
  </w:style>
  <w:style w:type="character" w:styleId="ListLabel122">
    <w:name w:val="ListLabel 122"/>
    <w:qFormat/>
    <w:rPr>
      <w:rFonts w:cs="Wingdings"/>
    </w:rPr>
  </w:style>
  <w:style w:type="character" w:styleId="ListLabel123">
    <w:name w:val="ListLabel 123"/>
    <w:qFormat/>
    <w:rPr>
      <w:rFonts w:cs="Wingdings"/>
    </w:rPr>
  </w:style>
  <w:style w:type="character" w:styleId="ListLabel124">
    <w:name w:val="ListLabel 124"/>
    <w:qFormat/>
    <w:rPr>
      <w:rFonts w:cs="Wingdings"/>
    </w:rPr>
  </w:style>
  <w:style w:type="character" w:styleId="ListLabel125">
    <w:name w:val="ListLabel 125"/>
    <w:qFormat/>
    <w:rPr>
      <w:rFonts w:ascii="Arial" w:hAnsi="Arial"/>
      <w:b/>
      <w:sz w:val="20"/>
    </w:rPr>
  </w:style>
  <w:style w:type="character" w:styleId="ListLabel126">
    <w:name w:val="ListLabel 126"/>
    <w:qFormat/>
    <w:rPr>
      <w:rFonts w:ascii="Arial" w:hAnsi="Arial"/>
      <w:b/>
      <w:color w:val="00000A"/>
      <w:sz w:val="20"/>
      <w:szCs w:val="20"/>
    </w:rPr>
  </w:style>
  <w:style w:type="character" w:styleId="ListLabel127">
    <w:name w:val="ListLabel 127"/>
    <w:qFormat/>
    <w:rPr>
      <w:rFonts w:ascii="Times New Roman" w:hAnsi="Times New Roman"/>
      <w:b/>
      <w:color w:val="00000A"/>
      <w:sz w:val="22"/>
      <w:szCs w:val="20"/>
    </w:rPr>
  </w:style>
  <w:style w:type="character" w:styleId="ListLabel128">
    <w:name w:val="ListLabel 128"/>
    <w:qFormat/>
    <w:rPr>
      <w:rFonts w:cs="Wingdings"/>
      <w:sz w:val="24"/>
    </w:rPr>
  </w:style>
  <w:style w:type="character" w:styleId="ListLabel129">
    <w:name w:val="ListLabel 129"/>
    <w:qFormat/>
    <w:rPr>
      <w:rFonts w:cs="Wingdings"/>
    </w:rPr>
  </w:style>
  <w:style w:type="character" w:styleId="ListLabel130">
    <w:name w:val="ListLabel 130"/>
    <w:qFormat/>
    <w:rPr>
      <w:rFonts w:cs="Wingdings"/>
    </w:rPr>
  </w:style>
  <w:style w:type="character" w:styleId="ListLabel131">
    <w:name w:val="ListLabel 131"/>
    <w:qFormat/>
    <w:rPr>
      <w:rFonts w:cs="Wingdings"/>
    </w:rPr>
  </w:style>
  <w:style w:type="character" w:styleId="ListLabel132">
    <w:name w:val="ListLabel 132"/>
    <w:qFormat/>
    <w:rPr>
      <w:rFonts w:cs="Wingdings"/>
    </w:rPr>
  </w:style>
  <w:style w:type="character" w:styleId="ListLabel133">
    <w:name w:val="ListLabel 133"/>
    <w:qFormat/>
    <w:rPr>
      <w:rFonts w:cs="Wingdings"/>
    </w:rPr>
  </w:style>
  <w:style w:type="character" w:styleId="ListLabel134">
    <w:name w:val="ListLabel 134"/>
    <w:qFormat/>
    <w:rPr>
      <w:rFonts w:cs="Wingdings"/>
    </w:rPr>
  </w:style>
  <w:style w:type="character" w:styleId="ListLabel135">
    <w:name w:val="ListLabel 135"/>
    <w:qFormat/>
    <w:rPr>
      <w:rFonts w:cs="Wingdings"/>
    </w:rPr>
  </w:style>
  <w:style w:type="character" w:styleId="ListLabel136">
    <w:name w:val="ListLabel 136"/>
    <w:qFormat/>
    <w:rPr>
      <w:rFonts w:cs="Wingdings"/>
    </w:rPr>
  </w:style>
  <w:style w:type="character" w:styleId="ListLabel137">
    <w:name w:val="ListLabel 137"/>
    <w:qFormat/>
    <w:rPr>
      <w:rFonts w:ascii="Arial" w:hAnsi="Arial"/>
      <w:b/>
      <w:sz w:val="20"/>
    </w:rPr>
  </w:style>
  <w:style w:type="character" w:styleId="ListLabel138">
    <w:name w:val="ListLabel 138"/>
    <w:qFormat/>
    <w:rPr>
      <w:rFonts w:ascii="Arial" w:hAnsi="Arial"/>
      <w:b/>
      <w:color w:val="00000A"/>
      <w:sz w:val="20"/>
      <w:szCs w:val="20"/>
    </w:rPr>
  </w:style>
  <w:style w:type="character" w:styleId="ListLabel139">
    <w:name w:val="ListLabel 139"/>
    <w:qFormat/>
    <w:rPr>
      <w:rFonts w:ascii="Times New Roman" w:hAnsi="Times New Roman"/>
      <w:b/>
      <w:color w:val="00000A"/>
      <w:sz w:val="22"/>
      <w:szCs w:val="20"/>
    </w:rPr>
  </w:style>
  <w:style w:type="character" w:styleId="ListLabel140">
    <w:name w:val="ListLabel 140"/>
    <w:qFormat/>
    <w:rPr>
      <w:rFonts w:cs="Wingdings"/>
      <w:sz w:val="24"/>
    </w:rPr>
  </w:style>
  <w:style w:type="character" w:styleId="ListLabel141">
    <w:name w:val="ListLabel 141"/>
    <w:qFormat/>
    <w:rPr>
      <w:rFonts w:cs="Wingdings"/>
    </w:rPr>
  </w:style>
  <w:style w:type="character" w:styleId="ListLabel142">
    <w:name w:val="ListLabel 142"/>
    <w:qFormat/>
    <w:rPr>
      <w:rFonts w:cs="Wingdings"/>
    </w:rPr>
  </w:style>
  <w:style w:type="character" w:styleId="ListLabel143">
    <w:name w:val="ListLabel 143"/>
    <w:qFormat/>
    <w:rPr>
      <w:rFonts w:cs="Wingdings"/>
    </w:rPr>
  </w:style>
  <w:style w:type="character" w:styleId="ListLabel144">
    <w:name w:val="ListLabel 144"/>
    <w:qFormat/>
    <w:rPr>
      <w:rFonts w:cs="Wingdings"/>
    </w:rPr>
  </w:style>
  <w:style w:type="character" w:styleId="ListLabel145">
    <w:name w:val="ListLabel 145"/>
    <w:qFormat/>
    <w:rPr>
      <w:rFonts w:cs="Wingdings"/>
    </w:rPr>
  </w:style>
  <w:style w:type="character" w:styleId="ListLabel146">
    <w:name w:val="ListLabel 146"/>
    <w:qFormat/>
    <w:rPr>
      <w:rFonts w:cs="Wingdings"/>
    </w:rPr>
  </w:style>
  <w:style w:type="character" w:styleId="ListLabel147">
    <w:name w:val="ListLabel 147"/>
    <w:qFormat/>
    <w:rPr>
      <w:rFonts w:cs="Wingdings"/>
    </w:rPr>
  </w:style>
  <w:style w:type="character" w:styleId="ListLabel148">
    <w:name w:val="ListLabel 148"/>
    <w:qFormat/>
    <w:rPr>
      <w:rFonts w:cs="Wingdings"/>
    </w:rPr>
  </w:style>
  <w:style w:type="character" w:styleId="ListLabel149">
    <w:name w:val="ListLabel 149"/>
    <w:qFormat/>
    <w:rPr>
      <w:rFonts w:ascii="Arial" w:hAnsi="Arial"/>
      <w:b/>
      <w:sz w:val="20"/>
    </w:rPr>
  </w:style>
  <w:style w:type="character" w:styleId="ListLabel150">
    <w:name w:val="ListLabel 150"/>
    <w:qFormat/>
    <w:rPr>
      <w:rFonts w:ascii="Arial" w:hAnsi="Arial"/>
      <w:b/>
      <w:color w:val="00000A"/>
      <w:sz w:val="20"/>
      <w:szCs w:val="20"/>
    </w:rPr>
  </w:style>
  <w:style w:type="character" w:styleId="ListLabel151">
    <w:name w:val="ListLabel 151"/>
    <w:qFormat/>
    <w:rPr>
      <w:rFonts w:ascii="Times New Roman" w:hAnsi="Times New Roman"/>
      <w:b/>
      <w:color w:val="00000A"/>
      <w:sz w:val="22"/>
      <w:szCs w:val="20"/>
    </w:rPr>
  </w:style>
  <w:style w:type="character" w:styleId="ListLabel152">
    <w:name w:val="ListLabel 152"/>
    <w:qFormat/>
    <w:rPr>
      <w:rFonts w:cs="Wingdings"/>
      <w:sz w:val="24"/>
    </w:rPr>
  </w:style>
  <w:style w:type="character" w:styleId="ListLabel153">
    <w:name w:val="ListLabel 153"/>
    <w:qFormat/>
    <w:rPr>
      <w:rFonts w:cs="Wingdings"/>
    </w:rPr>
  </w:style>
  <w:style w:type="character" w:styleId="ListLabel154">
    <w:name w:val="ListLabel 154"/>
    <w:qFormat/>
    <w:rPr>
      <w:rFonts w:cs="Wingdings"/>
    </w:rPr>
  </w:style>
  <w:style w:type="character" w:styleId="ListLabel155">
    <w:name w:val="ListLabel 155"/>
    <w:qFormat/>
    <w:rPr>
      <w:rFonts w:cs="Wingdings"/>
    </w:rPr>
  </w:style>
  <w:style w:type="character" w:styleId="ListLabel156">
    <w:name w:val="ListLabel 156"/>
    <w:qFormat/>
    <w:rPr>
      <w:rFonts w:cs="Wingdings"/>
    </w:rPr>
  </w:style>
  <w:style w:type="character" w:styleId="ListLabel157">
    <w:name w:val="ListLabel 157"/>
    <w:qFormat/>
    <w:rPr>
      <w:rFonts w:cs="Wingdings"/>
    </w:rPr>
  </w:style>
  <w:style w:type="character" w:styleId="ListLabel158">
    <w:name w:val="ListLabel 158"/>
    <w:qFormat/>
    <w:rPr>
      <w:rFonts w:cs="Wingdings"/>
    </w:rPr>
  </w:style>
  <w:style w:type="character" w:styleId="ListLabel159">
    <w:name w:val="ListLabel 159"/>
    <w:qFormat/>
    <w:rPr>
      <w:rFonts w:cs="Wingdings"/>
    </w:rPr>
  </w:style>
  <w:style w:type="character" w:styleId="ListLabel160">
    <w:name w:val="ListLabel 160"/>
    <w:qFormat/>
    <w:rPr>
      <w:rFonts w:cs="Wingdings"/>
    </w:rPr>
  </w:style>
  <w:style w:type="character" w:styleId="ListLabel161">
    <w:name w:val="ListLabel 161"/>
    <w:qFormat/>
    <w:rPr>
      <w:rFonts w:ascii="Arial" w:hAnsi="Arial"/>
      <w:b/>
      <w:sz w:val="20"/>
    </w:rPr>
  </w:style>
  <w:style w:type="character" w:styleId="ListLabel162">
    <w:name w:val="ListLabel 162"/>
    <w:qFormat/>
    <w:rPr>
      <w:rFonts w:ascii="Arial" w:hAnsi="Arial"/>
      <w:b/>
      <w:color w:val="00000A"/>
      <w:sz w:val="20"/>
      <w:szCs w:val="20"/>
    </w:rPr>
  </w:style>
  <w:style w:type="character" w:styleId="ListLabel163">
    <w:name w:val="ListLabel 163"/>
    <w:qFormat/>
    <w:rPr>
      <w:rFonts w:ascii="Times New Roman" w:hAnsi="Times New Roman"/>
      <w:b/>
      <w:color w:val="00000A"/>
      <w:sz w:val="22"/>
      <w:szCs w:val="20"/>
    </w:rPr>
  </w:style>
  <w:style w:type="character" w:styleId="ListLabel164">
    <w:name w:val="ListLabel 164"/>
    <w:qFormat/>
    <w:rPr>
      <w:rFonts w:cs="Wingdings"/>
      <w:sz w:val="24"/>
    </w:rPr>
  </w:style>
  <w:style w:type="character" w:styleId="ListLabel165">
    <w:name w:val="ListLabel 165"/>
    <w:qFormat/>
    <w:rPr>
      <w:rFonts w:cs="Wingdings"/>
    </w:rPr>
  </w:style>
  <w:style w:type="character" w:styleId="ListLabel166">
    <w:name w:val="ListLabel 166"/>
    <w:qFormat/>
    <w:rPr>
      <w:rFonts w:cs="Wingdings"/>
    </w:rPr>
  </w:style>
  <w:style w:type="character" w:styleId="ListLabel167">
    <w:name w:val="ListLabel 167"/>
    <w:qFormat/>
    <w:rPr>
      <w:rFonts w:cs="Wingdings"/>
    </w:rPr>
  </w:style>
  <w:style w:type="character" w:styleId="ListLabel168">
    <w:name w:val="ListLabel 168"/>
    <w:qFormat/>
    <w:rPr>
      <w:rFonts w:cs="Wingdings"/>
    </w:rPr>
  </w:style>
  <w:style w:type="character" w:styleId="ListLabel169">
    <w:name w:val="ListLabel 169"/>
    <w:qFormat/>
    <w:rPr>
      <w:rFonts w:cs="Wingdings"/>
    </w:rPr>
  </w:style>
  <w:style w:type="character" w:styleId="ListLabel170">
    <w:name w:val="ListLabel 170"/>
    <w:qFormat/>
    <w:rPr>
      <w:rFonts w:cs="Wingdings"/>
    </w:rPr>
  </w:style>
  <w:style w:type="character" w:styleId="ListLabel171">
    <w:name w:val="ListLabel 171"/>
    <w:qFormat/>
    <w:rPr>
      <w:rFonts w:cs="Wingdings"/>
    </w:rPr>
  </w:style>
  <w:style w:type="character" w:styleId="ListLabel172">
    <w:name w:val="ListLabel 172"/>
    <w:qFormat/>
    <w:rPr>
      <w:rFonts w:cs="Wingdings"/>
    </w:rPr>
  </w:style>
  <w:style w:type="character" w:styleId="ListLabel173">
    <w:name w:val="ListLabel 173"/>
    <w:qFormat/>
    <w:rPr>
      <w:rFonts w:ascii="Arial" w:hAnsi="Arial"/>
      <w:b/>
      <w:sz w:val="20"/>
    </w:rPr>
  </w:style>
  <w:style w:type="character" w:styleId="ListLabel174">
    <w:name w:val="ListLabel 174"/>
    <w:qFormat/>
    <w:rPr>
      <w:rFonts w:ascii="Arial" w:hAnsi="Arial"/>
      <w:b/>
      <w:bCs/>
      <w:color w:val="00000A"/>
      <w:sz w:val="20"/>
      <w:szCs w:val="20"/>
    </w:rPr>
  </w:style>
  <w:style w:type="character" w:styleId="ListLabel175">
    <w:name w:val="ListLabel 175"/>
    <w:qFormat/>
    <w:rPr>
      <w:rFonts w:ascii="Times New Roman" w:hAnsi="Times New Roman"/>
      <w:b/>
      <w:bCs/>
      <w:color w:val="00000A"/>
      <w:sz w:val="22"/>
      <w:szCs w:val="20"/>
    </w:rPr>
  </w:style>
  <w:style w:type="character" w:styleId="ListLabel176">
    <w:name w:val="ListLabel 176"/>
    <w:qFormat/>
    <w:rPr>
      <w:rFonts w:cs="Wingdings"/>
      <w:sz w:val="24"/>
    </w:rPr>
  </w:style>
  <w:style w:type="character" w:styleId="ListLabel177">
    <w:name w:val="ListLabel 177"/>
    <w:qFormat/>
    <w:rPr>
      <w:rFonts w:cs="Wingdings"/>
    </w:rPr>
  </w:style>
  <w:style w:type="character" w:styleId="ListLabel178">
    <w:name w:val="ListLabel 178"/>
    <w:qFormat/>
    <w:rPr>
      <w:rFonts w:cs="Wingdings"/>
    </w:rPr>
  </w:style>
  <w:style w:type="character" w:styleId="ListLabel179">
    <w:name w:val="ListLabel 179"/>
    <w:qFormat/>
    <w:rPr>
      <w:rFonts w:cs="Wingdings"/>
    </w:rPr>
  </w:style>
  <w:style w:type="character" w:styleId="ListLabel180">
    <w:name w:val="ListLabel 180"/>
    <w:qFormat/>
    <w:rPr>
      <w:rFonts w:cs="Wingdings"/>
    </w:rPr>
  </w:style>
  <w:style w:type="character" w:styleId="ListLabel181">
    <w:name w:val="ListLabel 181"/>
    <w:qFormat/>
    <w:rPr>
      <w:rFonts w:cs="Wingdings"/>
    </w:rPr>
  </w:style>
  <w:style w:type="character" w:styleId="ListLabel182">
    <w:name w:val="ListLabel 182"/>
    <w:qFormat/>
    <w:rPr>
      <w:rFonts w:cs="Wingdings"/>
    </w:rPr>
  </w:style>
  <w:style w:type="character" w:styleId="ListLabel183">
    <w:name w:val="ListLabel 183"/>
    <w:qFormat/>
    <w:rPr>
      <w:rFonts w:cs="Wingdings"/>
    </w:rPr>
  </w:style>
  <w:style w:type="character" w:styleId="ListLabel184">
    <w:name w:val="ListLabel 184"/>
    <w:qFormat/>
    <w:rPr>
      <w:rFonts w:cs="Wingdings"/>
    </w:rPr>
  </w:style>
  <w:style w:type="character" w:styleId="ListLabel185">
    <w:name w:val="ListLabel 185"/>
    <w:qFormat/>
    <w:rPr>
      <w:rFonts w:ascii="Arial" w:hAnsi="Arial"/>
      <w:b/>
      <w:sz w:val="20"/>
    </w:rPr>
  </w:style>
  <w:style w:type="character" w:styleId="ListLabel186">
    <w:name w:val="ListLabel 186"/>
    <w:qFormat/>
    <w:rPr>
      <w:rFonts w:ascii="Times New Roman" w:hAnsi="Times New Roman"/>
      <w:b/>
      <w:bCs/>
      <w:color w:val="00000A"/>
      <w:sz w:val="20"/>
      <w:szCs w:val="20"/>
    </w:rPr>
  </w:style>
  <w:style w:type="character" w:styleId="ListLabel187">
    <w:name w:val="ListLabel 187"/>
    <w:qFormat/>
    <w:rPr>
      <w:rFonts w:ascii="Times New Roman" w:hAnsi="Times New Roman"/>
      <w:b/>
      <w:bCs/>
      <w:color w:val="00000A"/>
      <w:sz w:val="22"/>
      <w:szCs w:val="20"/>
    </w:rPr>
  </w:style>
  <w:style w:type="character" w:styleId="ListLabel188">
    <w:name w:val="ListLabel 188"/>
    <w:qFormat/>
    <w:rPr>
      <w:rFonts w:cs="Wingdings"/>
      <w:sz w:val="24"/>
    </w:rPr>
  </w:style>
  <w:style w:type="character" w:styleId="ListLabel189">
    <w:name w:val="ListLabel 189"/>
    <w:qFormat/>
    <w:rPr>
      <w:rFonts w:cs="Wingdings"/>
    </w:rPr>
  </w:style>
  <w:style w:type="character" w:styleId="ListLabel190">
    <w:name w:val="ListLabel 190"/>
    <w:qFormat/>
    <w:rPr>
      <w:rFonts w:cs="Wingdings"/>
    </w:rPr>
  </w:style>
  <w:style w:type="character" w:styleId="ListLabel191">
    <w:name w:val="ListLabel 191"/>
    <w:qFormat/>
    <w:rPr>
      <w:rFonts w:cs="Wingdings"/>
    </w:rPr>
  </w:style>
  <w:style w:type="character" w:styleId="ListLabel192">
    <w:name w:val="ListLabel 192"/>
    <w:qFormat/>
    <w:rPr>
      <w:rFonts w:cs="Wingdings"/>
    </w:rPr>
  </w:style>
  <w:style w:type="character" w:styleId="ListLabel193">
    <w:name w:val="ListLabel 193"/>
    <w:qFormat/>
    <w:rPr>
      <w:rFonts w:cs="Wingdings"/>
    </w:rPr>
  </w:style>
  <w:style w:type="character" w:styleId="ListLabel194">
    <w:name w:val="ListLabel 194"/>
    <w:qFormat/>
    <w:rPr>
      <w:rFonts w:cs="Wingdings"/>
    </w:rPr>
  </w:style>
  <w:style w:type="character" w:styleId="ListLabel195">
    <w:name w:val="ListLabel 195"/>
    <w:qFormat/>
    <w:rPr>
      <w:rFonts w:cs="Wingdings"/>
    </w:rPr>
  </w:style>
  <w:style w:type="character" w:styleId="ListLabel196">
    <w:name w:val="ListLabel 196"/>
    <w:qFormat/>
    <w:rPr>
      <w:rFonts w:cs="Wingdings"/>
    </w:rPr>
  </w:style>
  <w:style w:type="character" w:styleId="ListLabel197">
    <w:name w:val="ListLabel 197"/>
    <w:qFormat/>
    <w:rPr>
      <w:rFonts w:ascii="Arial" w:hAnsi="Arial"/>
      <w:b/>
      <w:sz w:val="20"/>
    </w:rPr>
  </w:style>
  <w:style w:type="character" w:styleId="ListLabel198">
    <w:name w:val="ListLabel 198"/>
    <w:qFormat/>
    <w:rPr>
      <w:rFonts w:ascii="Arial" w:hAnsi="Arial"/>
      <w:b/>
      <w:bCs/>
      <w:color w:val="00000A"/>
      <w:sz w:val="20"/>
      <w:szCs w:val="20"/>
    </w:rPr>
  </w:style>
  <w:style w:type="character" w:styleId="ListLabel199">
    <w:name w:val="ListLabel 199"/>
    <w:qFormat/>
    <w:rPr>
      <w:rFonts w:ascii="Times New Roman" w:hAnsi="Times New Roman"/>
      <w:b/>
      <w:bCs/>
      <w:color w:val="00000A"/>
      <w:sz w:val="22"/>
      <w:szCs w:val="20"/>
    </w:rPr>
  </w:style>
  <w:style w:type="character" w:styleId="ListLabel200">
    <w:name w:val="ListLabel 200"/>
    <w:qFormat/>
    <w:rPr>
      <w:rFonts w:cs="Wingdings"/>
      <w:sz w:val="24"/>
    </w:rPr>
  </w:style>
  <w:style w:type="character" w:styleId="ListLabel201">
    <w:name w:val="ListLabel 201"/>
    <w:qFormat/>
    <w:rPr>
      <w:rFonts w:cs="Wingdings"/>
    </w:rPr>
  </w:style>
  <w:style w:type="character" w:styleId="ListLabel202">
    <w:name w:val="ListLabel 202"/>
    <w:qFormat/>
    <w:rPr>
      <w:rFonts w:cs="Wingdings"/>
    </w:rPr>
  </w:style>
  <w:style w:type="character" w:styleId="ListLabel203">
    <w:name w:val="ListLabel 203"/>
    <w:qFormat/>
    <w:rPr>
      <w:rFonts w:cs="Wingdings"/>
    </w:rPr>
  </w:style>
  <w:style w:type="character" w:styleId="ListLabel204">
    <w:name w:val="ListLabel 204"/>
    <w:qFormat/>
    <w:rPr>
      <w:rFonts w:cs="Wingdings"/>
    </w:rPr>
  </w:style>
  <w:style w:type="character" w:styleId="ListLabel205">
    <w:name w:val="ListLabel 205"/>
    <w:qFormat/>
    <w:rPr>
      <w:rFonts w:cs="Wingdings"/>
    </w:rPr>
  </w:style>
  <w:style w:type="character" w:styleId="ListLabel206">
    <w:name w:val="ListLabel 206"/>
    <w:qFormat/>
    <w:rPr>
      <w:rFonts w:cs="Wingdings"/>
    </w:rPr>
  </w:style>
  <w:style w:type="character" w:styleId="ListLabel207">
    <w:name w:val="ListLabel 207"/>
    <w:qFormat/>
    <w:rPr>
      <w:rFonts w:cs="Wingdings"/>
    </w:rPr>
  </w:style>
  <w:style w:type="character" w:styleId="ListLabel208">
    <w:name w:val="ListLabel 208"/>
    <w:qFormat/>
    <w:rPr>
      <w:rFonts w:cs="Wingdings"/>
    </w:rPr>
  </w:style>
  <w:style w:type="character" w:styleId="ListLabel209">
    <w:name w:val="ListLabel 209"/>
    <w:qFormat/>
    <w:rPr>
      <w:rFonts w:ascii="Arial" w:hAnsi="Arial"/>
      <w:b/>
      <w:sz w:val="20"/>
    </w:rPr>
  </w:style>
  <w:style w:type="character" w:styleId="ListLabel210">
    <w:name w:val="ListLabel 210"/>
    <w:qFormat/>
    <w:rPr>
      <w:rFonts w:ascii="Arial" w:hAnsi="Arial"/>
      <w:b/>
      <w:bCs/>
      <w:color w:val="00000A"/>
      <w:sz w:val="20"/>
      <w:szCs w:val="20"/>
    </w:rPr>
  </w:style>
  <w:style w:type="character" w:styleId="ListLabel211">
    <w:name w:val="ListLabel 211"/>
    <w:qFormat/>
    <w:rPr>
      <w:rFonts w:ascii="Times New Roman" w:hAnsi="Times New Roman"/>
      <w:b/>
      <w:bCs/>
      <w:color w:val="00000A"/>
      <w:sz w:val="22"/>
      <w:szCs w:val="20"/>
    </w:rPr>
  </w:style>
  <w:style w:type="character" w:styleId="ListLabel212">
    <w:name w:val="ListLabel 212"/>
    <w:qFormat/>
    <w:rPr>
      <w:rFonts w:cs="Wingdings"/>
      <w:sz w:val="24"/>
    </w:rPr>
  </w:style>
  <w:style w:type="character" w:styleId="ListLabel213">
    <w:name w:val="ListLabel 213"/>
    <w:qFormat/>
    <w:rPr>
      <w:rFonts w:cs="Wingdings"/>
    </w:rPr>
  </w:style>
  <w:style w:type="character" w:styleId="ListLabel214">
    <w:name w:val="ListLabel 214"/>
    <w:qFormat/>
    <w:rPr>
      <w:rFonts w:cs="Wingdings"/>
    </w:rPr>
  </w:style>
  <w:style w:type="character" w:styleId="ListLabel215">
    <w:name w:val="ListLabel 215"/>
    <w:qFormat/>
    <w:rPr>
      <w:rFonts w:cs="Wingdings"/>
    </w:rPr>
  </w:style>
  <w:style w:type="character" w:styleId="ListLabel216">
    <w:name w:val="ListLabel 216"/>
    <w:qFormat/>
    <w:rPr>
      <w:rFonts w:cs="Wingdings"/>
    </w:rPr>
  </w:style>
  <w:style w:type="character" w:styleId="ListLabel217">
    <w:name w:val="ListLabel 217"/>
    <w:qFormat/>
    <w:rPr>
      <w:rFonts w:cs="Wingdings"/>
    </w:rPr>
  </w:style>
  <w:style w:type="character" w:styleId="ListLabel218">
    <w:name w:val="ListLabel 218"/>
    <w:qFormat/>
    <w:rPr>
      <w:rFonts w:cs="Wingdings"/>
    </w:rPr>
  </w:style>
  <w:style w:type="character" w:styleId="ListLabel219">
    <w:name w:val="ListLabel 219"/>
    <w:qFormat/>
    <w:rPr>
      <w:rFonts w:cs="Wingdings"/>
    </w:rPr>
  </w:style>
  <w:style w:type="character" w:styleId="ListLabel220">
    <w:name w:val="ListLabel 220"/>
    <w:qFormat/>
    <w:rPr>
      <w:rFonts w:cs="Wingdings"/>
    </w:rPr>
  </w:style>
  <w:style w:type="character" w:styleId="ListLabel221">
    <w:name w:val="ListLabel 221"/>
    <w:qFormat/>
    <w:rPr>
      <w:rFonts w:ascii="Arial" w:hAnsi="Arial"/>
      <w:b/>
      <w:sz w:val="20"/>
    </w:rPr>
  </w:style>
  <w:style w:type="character" w:styleId="ListLabel222">
    <w:name w:val="ListLabel 222"/>
    <w:qFormat/>
    <w:rPr>
      <w:rFonts w:ascii="Arial" w:hAnsi="Arial"/>
      <w:b/>
      <w:bCs/>
      <w:color w:val="00000A"/>
      <w:sz w:val="20"/>
      <w:szCs w:val="20"/>
    </w:rPr>
  </w:style>
  <w:style w:type="character" w:styleId="ListLabel223">
    <w:name w:val="ListLabel 223"/>
    <w:qFormat/>
    <w:rPr>
      <w:rFonts w:ascii="Times New Roman" w:hAnsi="Times New Roman"/>
      <w:b/>
      <w:bCs/>
      <w:color w:val="00000A"/>
      <w:sz w:val="22"/>
      <w:szCs w:val="20"/>
    </w:rPr>
  </w:style>
  <w:style w:type="character" w:styleId="ListLabel224">
    <w:name w:val="ListLabel 224"/>
    <w:qFormat/>
    <w:rPr>
      <w:rFonts w:ascii="Times New Roman" w:hAnsi="Times New Roman" w:cs="Wingdings"/>
      <w:b/>
      <w:sz w:val="22"/>
    </w:rPr>
  </w:style>
  <w:style w:type="character" w:styleId="ListLabel225">
    <w:name w:val="ListLabel 225"/>
    <w:qFormat/>
    <w:rPr>
      <w:rFonts w:cs="Wingdings"/>
    </w:rPr>
  </w:style>
  <w:style w:type="character" w:styleId="ListLabel226">
    <w:name w:val="ListLabel 226"/>
    <w:qFormat/>
    <w:rPr>
      <w:rFonts w:cs="Wingdings"/>
    </w:rPr>
  </w:style>
  <w:style w:type="character" w:styleId="ListLabel227">
    <w:name w:val="ListLabel 227"/>
    <w:qFormat/>
    <w:rPr>
      <w:rFonts w:cs="Wingdings"/>
    </w:rPr>
  </w:style>
  <w:style w:type="character" w:styleId="ListLabel228">
    <w:name w:val="ListLabel 228"/>
    <w:qFormat/>
    <w:rPr>
      <w:rFonts w:cs="Wingdings"/>
    </w:rPr>
  </w:style>
  <w:style w:type="character" w:styleId="ListLabel229">
    <w:name w:val="ListLabel 229"/>
    <w:qFormat/>
    <w:rPr>
      <w:rFonts w:cs="Wingdings"/>
    </w:rPr>
  </w:style>
  <w:style w:type="character" w:styleId="ListLabel230">
    <w:name w:val="ListLabel 230"/>
    <w:qFormat/>
    <w:rPr>
      <w:rFonts w:cs="Wingdings"/>
    </w:rPr>
  </w:style>
  <w:style w:type="character" w:styleId="ListLabel231">
    <w:name w:val="ListLabel 231"/>
    <w:qFormat/>
    <w:rPr>
      <w:rFonts w:cs="Wingdings"/>
    </w:rPr>
  </w:style>
  <w:style w:type="character" w:styleId="ListLabel232">
    <w:name w:val="ListLabel 232"/>
    <w:qFormat/>
    <w:rPr>
      <w:rFonts w:cs="Wingdings"/>
    </w:rPr>
  </w:style>
  <w:style w:type="character" w:styleId="ListLabel233">
    <w:name w:val="ListLabel 233"/>
    <w:qFormat/>
    <w:rPr>
      <w:rFonts w:ascii="Arial" w:hAnsi="Arial"/>
      <w:b/>
      <w:sz w:val="20"/>
    </w:rPr>
  </w:style>
  <w:style w:type="character" w:styleId="ListLabel234">
    <w:name w:val="ListLabel 234"/>
    <w:qFormat/>
    <w:rPr>
      <w:rFonts w:ascii="Arial" w:hAnsi="Arial"/>
      <w:b/>
      <w:bCs/>
      <w:color w:val="00000A"/>
      <w:sz w:val="20"/>
      <w:szCs w:val="20"/>
    </w:rPr>
  </w:style>
  <w:style w:type="character" w:styleId="ListLabel235">
    <w:name w:val="ListLabel 235"/>
    <w:qFormat/>
    <w:rPr>
      <w:rFonts w:ascii="Times New Roman" w:hAnsi="Times New Roman"/>
      <w:b/>
      <w:bCs/>
      <w:color w:val="00000A"/>
      <w:sz w:val="22"/>
      <w:szCs w:val="20"/>
    </w:rPr>
  </w:style>
  <w:style w:type="character" w:styleId="ListLabel236">
    <w:name w:val="ListLabel 236"/>
    <w:qFormat/>
    <w:rPr>
      <w:rFonts w:ascii="Times New Roman" w:hAnsi="Times New Roman" w:cs="Wingdings"/>
      <w:b/>
      <w:sz w:val="22"/>
    </w:rPr>
  </w:style>
  <w:style w:type="character" w:styleId="ListLabel237">
    <w:name w:val="ListLabel 237"/>
    <w:qFormat/>
    <w:rPr>
      <w:rFonts w:cs="Wingdings"/>
    </w:rPr>
  </w:style>
  <w:style w:type="character" w:styleId="ListLabel238">
    <w:name w:val="ListLabel 238"/>
    <w:qFormat/>
    <w:rPr>
      <w:rFonts w:cs="Wingdings"/>
    </w:rPr>
  </w:style>
  <w:style w:type="character" w:styleId="ListLabel239">
    <w:name w:val="ListLabel 239"/>
    <w:qFormat/>
    <w:rPr>
      <w:rFonts w:cs="Wingdings"/>
    </w:rPr>
  </w:style>
  <w:style w:type="character" w:styleId="ListLabel240">
    <w:name w:val="ListLabel 240"/>
    <w:qFormat/>
    <w:rPr>
      <w:rFonts w:cs="Wingdings"/>
    </w:rPr>
  </w:style>
  <w:style w:type="character" w:styleId="ListLabel241">
    <w:name w:val="ListLabel 241"/>
    <w:qFormat/>
    <w:rPr>
      <w:rFonts w:cs="Wingdings"/>
    </w:rPr>
  </w:style>
  <w:style w:type="character" w:styleId="ListLabel242">
    <w:name w:val="ListLabel 242"/>
    <w:qFormat/>
    <w:rPr>
      <w:rFonts w:cs="Wingdings"/>
    </w:rPr>
  </w:style>
  <w:style w:type="character" w:styleId="ListLabel243">
    <w:name w:val="ListLabel 243"/>
    <w:qFormat/>
    <w:rPr>
      <w:rFonts w:cs="Wingdings"/>
    </w:rPr>
  </w:style>
  <w:style w:type="character" w:styleId="ListLabel244">
    <w:name w:val="ListLabel 244"/>
    <w:qFormat/>
    <w:rPr>
      <w:rFonts w:cs="Wingdings"/>
    </w:rPr>
  </w:style>
  <w:style w:type="character" w:styleId="ListLabel245">
    <w:name w:val="ListLabel 245"/>
    <w:qFormat/>
    <w:rPr>
      <w:rFonts w:ascii="Arial" w:hAnsi="Arial"/>
      <w:b/>
      <w:sz w:val="20"/>
    </w:rPr>
  </w:style>
  <w:style w:type="character" w:styleId="ListLabel246">
    <w:name w:val="ListLabel 246"/>
    <w:qFormat/>
    <w:rPr>
      <w:rFonts w:ascii="Arial" w:hAnsi="Arial"/>
      <w:b/>
      <w:bCs/>
      <w:color w:val="00000A"/>
      <w:sz w:val="20"/>
      <w:szCs w:val="20"/>
    </w:rPr>
  </w:style>
  <w:style w:type="character" w:styleId="ListLabel247">
    <w:name w:val="ListLabel 247"/>
    <w:qFormat/>
    <w:rPr>
      <w:rFonts w:ascii="Times New Roman" w:hAnsi="Times New Roman"/>
      <w:b/>
      <w:bCs/>
      <w:color w:val="00000A"/>
      <w:sz w:val="22"/>
      <w:szCs w:val="20"/>
    </w:rPr>
  </w:style>
  <w:style w:type="character" w:styleId="ListLabel248">
    <w:name w:val="ListLabel 248"/>
    <w:qFormat/>
    <w:rPr>
      <w:rFonts w:ascii="Times New Roman" w:hAnsi="Times New Roman" w:cs="Wingdings"/>
      <w:b/>
      <w:sz w:val="22"/>
    </w:rPr>
  </w:style>
  <w:style w:type="character" w:styleId="ListLabel249">
    <w:name w:val="ListLabel 249"/>
    <w:qFormat/>
    <w:rPr>
      <w:rFonts w:cs="Wingdings"/>
    </w:rPr>
  </w:style>
  <w:style w:type="character" w:styleId="ListLabel250">
    <w:name w:val="ListLabel 250"/>
    <w:qFormat/>
    <w:rPr>
      <w:rFonts w:cs="Wingdings"/>
    </w:rPr>
  </w:style>
  <w:style w:type="character" w:styleId="ListLabel251">
    <w:name w:val="ListLabel 251"/>
    <w:qFormat/>
    <w:rPr>
      <w:rFonts w:cs="Wingdings"/>
    </w:rPr>
  </w:style>
  <w:style w:type="character" w:styleId="ListLabel252">
    <w:name w:val="ListLabel 252"/>
    <w:qFormat/>
    <w:rPr>
      <w:rFonts w:cs="Wingdings"/>
    </w:rPr>
  </w:style>
  <w:style w:type="character" w:styleId="ListLabel253">
    <w:name w:val="ListLabel 253"/>
    <w:qFormat/>
    <w:rPr>
      <w:rFonts w:cs="Wingdings"/>
    </w:rPr>
  </w:style>
  <w:style w:type="character" w:styleId="ListLabel254">
    <w:name w:val="ListLabel 254"/>
    <w:qFormat/>
    <w:rPr>
      <w:rFonts w:cs="Wingdings"/>
    </w:rPr>
  </w:style>
  <w:style w:type="character" w:styleId="ListLabel255">
    <w:name w:val="ListLabel 255"/>
    <w:qFormat/>
    <w:rPr>
      <w:rFonts w:cs="Wingdings"/>
    </w:rPr>
  </w:style>
  <w:style w:type="character" w:styleId="ListLabel256">
    <w:name w:val="ListLabel 256"/>
    <w:qFormat/>
    <w:rPr>
      <w:rFonts w:cs="Wingdings"/>
    </w:rPr>
  </w:style>
  <w:style w:type="character" w:styleId="ListLabel257">
    <w:name w:val="ListLabel 257"/>
    <w:qFormat/>
    <w:rPr>
      <w:rFonts w:ascii="Arial" w:hAnsi="Arial"/>
      <w:b/>
      <w:sz w:val="20"/>
    </w:rPr>
  </w:style>
  <w:style w:type="character" w:styleId="ListLabel258">
    <w:name w:val="ListLabel 258"/>
    <w:qFormat/>
    <w:rPr>
      <w:rFonts w:ascii="Arial" w:hAnsi="Arial"/>
      <w:b/>
      <w:bCs/>
      <w:color w:val="00000A"/>
      <w:sz w:val="20"/>
      <w:szCs w:val="20"/>
    </w:rPr>
  </w:style>
  <w:style w:type="character" w:styleId="ListLabel259">
    <w:name w:val="ListLabel 259"/>
    <w:qFormat/>
    <w:rPr>
      <w:rFonts w:ascii="Times New Roman" w:hAnsi="Times New Roman"/>
      <w:b/>
      <w:bCs/>
      <w:color w:val="00000A"/>
      <w:sz w:val="22"/>
      <w:szCs w:val="20"/>
    </w:rPr>
  </w:style>
  <w:style w:type="character" w:styleId="ListLabel260">
    <w:name w:val="ListLabel 260"/>
    <w:qFormat/>
    <w:rPr>
      <w:rFonts w:ascii="Times New Roman" w:hAnsi="Times New Roman" w:cs="Wingdings"/>
      <w:b/>
      <w:sz w:val="22"/>
    </w:rPr>
  </w:style>
  <w:style w:type="character" w:styleId="ListLabel261">
    <w:name w:val="ListLabel 261"/>
    <w:qFormat/>
    <w:rPr>
      <w:rFonts w:cs="Wingdings"/>
    </w:rPr>
  </w:style>
  <w:style w:type="character" w:styleId="ListLabel262">
    <w:name w:val="ListLabel 262"/>
    <w:qFormat/>
    <w:rPr>
      <w:rFonts w:cs="Wingdings"/>
    </w:rPr>
  </w:style>
  <w:style w:type="character" w:styleId="ListLabel263">
    <w:name w:val="ListLabel 263"/>
    <w:qFormat/>
    <w:rPr>
      <w:rFonts w:cs="Wingdings"/>
    </w:rPr>
  </w:style>
  <w:style w:type="character" w:styleId="ListLabel264">
    <w:name w:val="ListLabel 264"/>
    <w:qFormat/>
    <w:rPr>
      <w:rFonts w:cs="Wingdings"/>
    </w:rPr>
  </w:style>
  <w:style w:type="character" w:styleId="ListLabel265">
    <w:name w:val="ListLabel 265"/>
    <w:qFormat/>
    <w:rPr>
      <w:rFonts w:cs="Wingdings"/>
    </w:rPr>
  </w:style>
  <w:style w:type="character" w:styleId="ListLabel266">
    <w:name w:val="ListLabel 266"/>
    <w:qFormat/>
    <w:rPr>
      <w:rFonts w:cs="Wingdings"/>
    </w:rPr>
  </w:style>
  <w:style w:type="character" w:styleId="ListLabel267">
    <w:name w:val="ListLabel 267"/>
    <w:qFormat/>
    <w:rPr>
      <w:rFonts w:cs="Wingdings"/>
    </w:rPr>
  </w:style>
  <w:style w:type="character" w:styleId="ListLabel268">
    <w:name w:val="ListLabel 268"/>
    <w:qFormat/>
    <w:rPr>
      <w:rFonts w:cs="Wingdings"/>
    </w:rPr>
  </w:style>
  <w:style w:type="character" w:styleId="ListLabel269">
    <w:name w:val="ListLabel 269"/>
    <w:qFormat/>
    <w:rPr>
      <w:rFonts w:ascii="Arial" w:hAnsi="Arial"/>
      <w:b/>
      <w:sz w:val="20"/>
    </w:rPr>
  </w:style>
  <w:style w:type="character" w:styleId="ListLabel270">
    <w:name w:val="ListLabel 270"/>
    <w:qFormat/>
    <w:rPr>
      <w:rFonts w:ascii="Arial" w:hAnsi="Arial"/>
      <w:b/>
      <w:bCs/>
      <w:color w:val="00000A"/>
      <w:sz w:val="20"/>
      <w:szCs w:val="20"/>
    </w:rPr>
  </w:style>
  <w:style w:type="character" w:styleId="ListLabel271">
    <w:name w:val="ListLabel 271"/>
    <w:qFormat/>
    <w:rPr>
      <w:rFonts w:ascii="Times New Roman" w:hAnsi="Times New Roman"/>
      <w:b/>
      <w:bCs/>
      <w:color w:val="00000A"/>
      <w:sz w:val="22"/>
      <w:szCs w:val="20"/>
    </w:rPr>
  </w:style>
  <w:style w:type="character" w:styleId="ListLabel272">
    <w:name w:val="ListLabel 272"/>
    <w:qFormat/>
    <w:rPr>
      <w:rFonts w:ascii="Times New Roman" w:hAnsi="Times New Roman" w:cs="Wingdings"/>
      <w:b/>
      <w:sz w:val="22"/>
    </w:rPr>
  </w:style>
  <w:style w:type="character" w:styleId="ListLabel273">
    <w:name w:val="ListLabel 273"/>
    <w:qFormat/>
    <w:rPr>
      <w:rFonts w:cs="Wingdings"/>
    </w:rPr>
  </w:style>
  <w:style w:type="character" w:styleId="ListLabel274">
    <w:name w:val="ListLabel 274"/>
    <w:qFormat/>
    <w:rPr>
      <w:rFonts w:cs="Wingdings"/>
    </w:rPr>
  </w:style>
  <w:style w:type="character" w:styleId="ListLabel275">
    <w:name w:val="ListLabel 275"/>
    <w:qFormat/>
    <w:rPr>
      <w:rFonts w:cs="Wingdings"/>
    </w:rPr>
  </w:style>
  <w:style w:type="character" w:styleId="ListLabel276">
    <w:name w:val="ListLabel 276"/>
    <w:qFormat/>
    <w:rPr>
      <w:rFonts w:cs="Wingdings"/>
    </w:rPr>
  </w:style>
  <w:style w:type="character" w:styleId="ListLabel277">
    <w:name w:val="ListLabel 277"/>
    <w:qFormat/>
    <w:rPr>
      <w:rFonts w:cs="Wingdings"/>
    </w:rPr>
  </w:style>
  <w:style w:type="character" w:styleId="ListLabel278">
    <w:name w:val="ListLabel 278"/>
    <w:qFormat/>
    <w:rPr>
      <w:rFonts w:cs="Wingdings"/>
    </w:rPr>
  </w:style>
  <w:style w:type="character" w:styleId="ListLabel279">
    <w:name w:val="ListLabel 279"/>
    <w:qFormat/>
    <w:rPr>
      <w:rFonts w:cs="Wingdings"/>
    </w:rPr>
  </w:style>
  <w:style w:type="character" w:styleId="ListLabel280">
    <w:name w:val="ListLabel 280"/>
    <w:qFormat/>
    <w:rPr>
      <w:rFonts w:cs="Wingdings"/>
    </w:rPr>
  </w:style>
  <w:style w:type="character" w:styleId="ListLabel281">
    <w:name w:val="ListLabel 281"/>
    <w:qFormat/>
    <w:rPr>
      <w:rFonts w:ascii="Arial" w:hAnsi="Arial"/>
      <w:b/>
      <w:sz w:val="20"/>
    </w:rPr>
  </w:style>
  <w:style w:type="character" w:styleId="ListLabel282">
    <w:name w:val="ListLabel 282"/>
    <w:qFormat/>
    <w:rPr>
      <w:rFonts w:ascii="Arial" w:hAnsi="Arial"/>
      <w:b/>
      <w:bCs/>
      <w:color w:val="00000A"/>
      <w:sz w:val="20"/>
      <w:szCs w:val="20"/>
    </w:rPr>
  </w:style>
  <w:style w:type="character" w:styleId="ListLabel283">
    <w:name w:val="ListLabel 283"/>
    <w:qFormat/>
    <w:rPr>
      <w:rFonts w:ascii="Times New Roman" w:hAnsi="Times New Roman"/>
      <w:b/>
      <w:bCs/>
      <w:color w:val="00000A"/>
      <w:sz w:val="22"/>
      <w:szCs w:val="20"/>
    </w:rPr>
  </w:style>
  <w:style w:type="character" w:styleId="ListLabel284">
    <w:name w:val="ListLabel 284"/>
    <w:qFormat/>
    <w:rPr>
      <w:rFonts w:ascii="Times New Roman" w:hAnsi="Times New Roman" w:cs="Wingdings"/>
      <w:b/>
      <w:sz w:val="22"/>
    </w:rPr>
  </w:style>
  <w:style w:type="character" w:styleId="ListLabel285">
    <w:name w:val="ListLabel 285"/>
    <w:qFormat/>
    <w:rPr>
      <w:rFonts w:cs="Wingdings"/>
    </w:rPr>
  </w:style>
  <w:style w:type="character" w:styleId="ListLabel286">
    <w:name w:val="ListLabel 286"/>
    <w:qFormat/>
    <w:rPr>
      <w:rFonts w:cs="Wingdings"/>
    </w:rPr>
  </w:style>
  <w:style w:type="character" w:styleId="ListLabel287">
    <w:name w:val="ListLabel 287"/>
    <w:qFormat/>
    <w:rPr>
      <w:rFonts w:cs="Wingdings"/>
    </w:rPr>
  </w:style>
  <w:style w:type="character" w:styleId="ListLabel288">
    <w:name w:val="ListLabel 288"/>
    <w:qFormat/>
    <w:rPr>
      <w:rFonts w:cs="Wingdings"/>
    </w:rPr>
  </w:style>
  <w:style w:type="character" w:styleId="ListLabel289">
    <w:name w:val="ListLabel 289"/>
    <w:qFormat/>
    <w:rPr>
      <w:rFonts w:cs="Wingdings"/>
    </w:rPr>
  </w:style>
  <w:style w:type="character" w:styleId="ListLabel290">
    <w:name w:val="ListLabel 290"/>
    <w:qFormat/>
    <w:rPr>
      <w:rFonts w:cs="Wingdings"/>
    </w:rPr>
  </w:style>
  <w:style w:type="character" w:styleId="ListLabel291">
    <w:name w:val="ListLabel 291"/>
    <w:qFormat/>
    <w:rPr>
      <w:rFonts w:cs="Wingdings"/>
    </w:rPr>
  </w:style>
  <w:style w:type="character" w:styleId="ListLabel292">
    <w:name w:val="ListLabel 292"/>
    <w:qFormat/>
    <w:rPr>
      <w:rFonts w:cs="Wingdings"/>
    </w:rPr>
  </w:style>
  <w:style w:type="character" w:styleId="ListLabel293">
    <w:name w:val="ListLabel 293"/>
    <w:qFormat/>
    <w:rPr>
      <w:rFonts w:ascii="Arial" w:hAnsi="Arial"/>
      <w:b/>
      <w:sz w:val="20"/>
    </w:rPr>
  </w:style>
  <w:style w:type="character" w:styleId="ListLabel294">
    <w:name w:val="ListLabel 294"/>
    <w:qFormat/>
    <w:rPr>
      <w:rFonts w:ascii="Arial" w:hAnsi="Arial"/>
      <w:b/>
      <w:bCs/>
      <w:color w:val="00000A"/>
      <w:sz w:val="20"/>
      <w:szCs w:val="20"/>
    </w:rPr>
  </w:style>
  <w:style w:type="character" w:styleId="ListLabel295">
    <w:name w:val="ListLabel 295"/>
    <w:qFormat/>
    <w:rPr>
      <w:rFonts w:ascii="Times New Roman" w:hAnsi="Times New Roman"/>
      <w:b/>
      <w:bCs/>
      <w:color w:val="00000A"/>
      <w:sz w:val="22"/>
      <w:szCs w:val="20"/>
    </w:rPr>
  </w:style>
  <w:style w:type="character" w:styleId="ListLabel296">
    <w:name w:val="ListLabel 296"/>
    <w:qFormat/>
    <w:rPr>
      <w:rFonts w:ascii="Times New Roman" w:hAnsi="Times New Roman" w:cs="Wingdings"/>
      <w:b/>
      <w:sz w:val="22"/>
    </w:rPr>
  </w:style>
  <w:style w:type="character" w:styleId="ListLabel297">
    <w:name w:val="ListLabel 297"/>
    <w:qFormat/>
    <w:rPr>
      <w:rFonts w:cs="Wingdings"/>
    </w:rPr>
  </w:style>
  <w:style w:type="character" w:styleId="ListLabel298">
    <w:name w:val="ListLabel 298"/>
    <w:qFormat/>
    <w:rPr>
      <w:rFonts w:cs="Wingdings"/>
    </w:rPr>
  </w:style>
  <w:style w:type="character" w:styleId="ListLabel299">
    <w:name w:val="ListLabel 299"/>
    <w:qFormat/>
    <w:rPr>
      <w:rFonts w:cs="Wingdings"/>
    </w:rPr>
  </w:style>
  <w:style w:type="character" w:styleId="ListLabel300">
    <w:name w:val="ListLabel 300"/>
    <w:qFormat/>
    <w:rPr>
      <w:rFonts w:cs="Wingdings"/>
    </w:rPr>
  </w:style>
  <w:style w:type="character" w:styleId="ListLabel301">
    <w:name w:val="ListLabel 301"/>
    <w:qFormat/>
    <w:rPr>
      <w:rFonts w:cs="Wingdings"/>
    </w:rPr>
  </w:style>
  <w:style w:type="character" w:styleId="ListLabel302">
    <w:name w:val="ListLabel 302"/>
    <w:qFormat/>
    <w:rPr>
      <w:rFonts w:cs="Wingdings"/>
    </w:rPr>
  </w:style>
  <w:style w:type="character" w:styleId="ListLabel303">
    <w:name w:val="ListLabel 303"/>
    <w:qFormat/>
    <w:rPr>
      <w:rFonts w:cs="Wingdings"/>
    </w:rPr>
  </w:style>
  <w:style w:type="character" w:styleId="ListLabel304">
    <w:name w:val="ListLabel 304"/>
    <w:qFormat/>
    <w:rPr>
      <w:rFonts w:cs="Wingdings"/>
    </w:rPr>
  </w:style>
  <w:style w:type="paragraph" w:styleId="Ttulo">
    <w:name w:val="Título"/>
    <w:basedOn w:val="Normal"/>
    <w:next w:val="Corpodetexto"/>
    <w:qFormat/>
    <w:pPr>
      <w:keepNext/>
      <w:widowControl w:val="false"/>
      <w:bidi w:val="0"/>
      <w:spacing w:lineRule="auto" w:line="240" w:before="240" w:after="120"/>
      <w:jc w:val="left"/>
    </w:pPr>
    <w:rPr>
      <w:rFonts w:ascii="Liberation Sans" w:hAnsi="Liberation Sans" w:eastAsia="Microsoft YaHei" w:cs="Liberation Sans"/>
      <w:color w:val="00000A"/>
      <w:sz w:val="28"/>
      <w:szCs w:val="28"/>
      <w:lang w:val="pt-BR" w:eastAsia="pt-BR" w:bidi="hi-IN"/>
    </w:rPr>
  </w:style>
  <w:style w:type="paragraph" w:styleId="Corpodetexto">
    <w:name w:val="Body Text"/>
    <w:basedOn w:val="Normal"/>
    <w:pPr>
      <w:widowControl w:val="false"/>
      <w:bidi w:val="0"/>
      <w:spacing w:before="0" w:after="120"/>
      <w:jc w:val="left"/>
    </w:pPr>
    <w:rPr>
      <w:rFonts w:ascii="Calibri" w:hAnsi="Calibri" w:eastAsia="Segoe UI" w:cs="Tahoma"/>
      <w:color w:val="00000A"/>
      <w:sz w:val="22"/>
      <w:szCs w:val="22"/>
      <w:lang w:val="pt-BR" w:eastAsia="pt-BR" w:bidi="ar-SA"/>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widowControl w:val="false"/>
      <w:suppressLineNumbers/>
      <w:bidi w:val="0"/>
      <w:spacing w:lineRule="auto" w:line="240" w:before="0" w:after="0"/>
      <w:jc w:val="left"/>
    </w:pPr>
    <w:rPr>
      <w:rFonts w:ascii="Times New Roman" w:hAnsi="Times New Roman" w:eastAsia="SimSun" w:cs="Mangal"/>
      <w:color w:val="00000A"/>
      <w:sz w:val="24"/>
      <w:szCs w:val="24"/>
      <w:lang w:val="pt-BR" w:eastAsia="pt-BR" w:bidi="hi-IN"/>
    </w:rPr>
  </w:style>
  <w:style w:type="paragraph" w:styleId="Padro">
    <w:name w:val="Padrão"/>
    <w:qFormat/>
    <w:pPr>
      <w:widowControl/>
      <w:tabs>
        <w:tab w:val="left" w:pos="567" w:leader="none"/>
      </w:tabs>
      <w:suppressAutoHyphens w:val="true"/>
      <w:overflowPunct w:val="true"/>
      <w:bidi w:val="0"/>
      <w:jc w:val="left"/>
    </w:pPr>
    <w:rPr>
      <w:rFonts w:ascii="Ecofont_Spranq_eco_Sans" w:hAnsi="Ecofont_Spranq_eco_Sans" w:eastAsia="Times New Roman" w:cs="Tahoma"/>
      <w:color w:val="00000A"/>
      <w:sz w:val="24"/>
      <w:szCs w:val="24"/>
      <w:lang w:val="pt-BR" w:eastAsia="pt-BR" w:bidi="ar-SA"/>
    </w:rPr>
  </w:style>
  <w:style w:type="paragraph" w:styleId="Ttulododocumento">
    <w:name w:val="Title"/>
    <w:basedOn w:val="Padro"/>
    <w:qFormat/>
    <w:pPr>
      <w:keepNext/>
      <w:spacing w:before="240" w:after="120"/>
    </w:pPr>
    <w:rPr>
      <w:rFonts w:ascii="Arial" w:hAnsi="Arial" w:eastAsia="Microsoft YaHei" w:cs="Mangal"/>
      <w:sz w:val="28"/>
      <w:szCs w:val="28"/>
    </w:rPr>
  </w:style>
  <w:style w:type="paragraph" w:styleId="Caption">
    <w:name w:val="caption"/>
    <w:basedOn w:val="Padro"/>
    <w:qFormat/>
    <w:pPr>
      <w:suppressLineNumbers/>
      <w:spacing w:before="120" w:after="120"/>
    </w:pPr>
    <w:rPr>
      <w:rFonts w:cs="Mangal"/>
      <w:i/>
      <w:iCs/>
    </w:rPr>
  </w:style>
  <w:style w:type="paragraph" w:styleId="ListParagraph">
    <w:name w:val="List Paragraph"/>
    <w:basedOn w:val="Padro"/>
    <w:qFormat/>
    <w:pPr>
      <w:ind w:left="720" w:right="0" w:hanging="0"/>
    </w:pPr>
    <w:rPr/>
  </w:style>
  <w:style w:type="paragraph" w:styleId="NormalWeb">
    <w:name w:val="Normal (Web)"/>
    <w:basedOn w:val="Padro"/>
    <w:qFormat/>
    <w:pPr>
      <w:spacing w:before="28" w:after="28"/>
    </w:pPr>
    <w:rPr>
      <w:rFonts w:ascii="Times New Roman" w:hAnsi="Times New Roman" w:cs="Times New Roman"/>
    </w:rPr>
  </w:style>
  <w:style w:type="paragraph" w:styleId="BalloonText">
    <w:name w:val="Balloon Text"/>
    <w:basedOn w:val="Padro"/>
    <w:qFormat/>
    <w:pPr/>
    <w:rPr>
      <w:rFonts w:ascii="Tahoma" w:hAnsi="Tahoma"/>
      <w:sz w:val="16"/>
      <w:szCs w:val="16"/>
    </w:rPr>
  </w:style>
  <w:style w:type="paragraph" w:styleId="Nvel2">
    <w:name w:val="Nível 2"/>
    <w:basedOn w:val="Padro"/>
    <w:qFormat/>
    <w:pPr>
      <w:spacing w:before="0" w:after="120"/>
      <w:jc w:val="both"/>
    </w:pPr>
    <w:rPr>
      <w:rFonts w:ascii="Arial" w:hAnsi="Arial" w:cs="Times New Roman"/>
      <w:b/>
      <w:szCs w:val="20"/>
    </w:rPr>
  </w:style>
  <w:style w:type="paragraph" w:styleId="Quote">
    <w:name w:val="Quote"/>
    <w:basedOn w:val="Padro"/>
    <w:qFormat/>
    <w:pPr>
      <w:pBdr>
        <w:top w:val="single" w:sz="4" w:space="0" w:color="1F497D"/>
        <w:left w:val="single" w:sz="4" w:space="0" w:color="1F497D"/>
        <w:bottom w:val="single" w:sz="4" w:space="0" w:color="1F497D"/>
        <w:right w:val="single" w:sz="4" w:space="0" w:color="1F497D"/>
      </w:pBdr>
      <w:shd w:val="clear" w:fill="FFFFCC"/>
      <w:spacing w:before="120" w:after="0"/>
      <w:jc w:val="both"/>
    </w:pPr>
    <w:rPr>
      <w:rFonts w:ascii="Arial" w:hAnsi="Arial" w:eastAsia="Calibri"/>
      <w:i/>
      <w:iCs/>
      <w:color w:val="000000"/>
      <w:sz w:val="20"/>
      <w:lang w:eastAsia="en-US"/>
    </w:rPr>
  </w:style>
  <w:style w:type="paragraph" w:styleId="ListBullet5">
    <w:name w:val="List Bullet 5"/>
    <w:basedOn w:val="Padro"/>
    <w:qFormat/>
    <w:pPr/>
    <w:rPr/>
  </w:style>
  <w:style w:type="paragraph" w:styleId="Citao2">
    <w:name w:val="citação 2"/>
    <w:basedOn w:val="Quote"/>
    <w:qFormat/>
    <w:pPr>
      <w:shd w:val="clear" w:fill="FFFFCC"/>
    </w:pPr>
    <w:rPr>
      <w:szCs w:val="20"/>
    </w:rPr>
  </w:style>
  <w:style w:type="paragraph" w:styleId="Cabealho">
    <w:name w:val="Header"/>
    <w:basedOn w:val="Padro"/>
    <w:pPr>
      <w:suppressLineNumbers/>
      <w:tabs>
        <w:tab w:val="center" w:pos="4252" w:leader="none"/>
        <w:tab w:val="right" w:pos="8504" w:leader="none"/>
      </w:tabs>
    </w:pPr>
    <w:rPr/>
  </w:style>
  <w:style w:type="paragraph" w:styleId="Rodap">
    <w:name w:val="Footer"/>
    <w:basedOn w:val="Padro"/>
    <w:pPr>
      <w:suppressLineNumbers/>
      <w:tabs>
        <w:tab w:val="center" w:pos="4252" w:leader="none"/>
        <w:tab w:val="right" w:pos="8504" w:leader="none"/>
      </w:tabs>
    </w:pPr>
    <w:rPr/>
  </w:style>
  <w:style w:type="paragraph" w:styleId="Nivel1">
    <w:name w:val="Nivel1"/>
    <w:basedOn w:val="Ttulo1"/>
    <w:qFormat/>
    <w:pPr>
      <w:spacing w:before="480" w:after="120"/>
      <w:ind w:left="357" w:right="0" w:hanging="357"/>
      <w:jc w:val="both"/>
    </w:pPr>
    <w:rPr>
      <w:rFonts w:ascii="Arial" w:hAnsi="Arial" w:cs="Arial"/>
      <w:color w:val="000000"/>
      <w:sz w:val="20"/>
      <w:szCs w:val="20"/>
    </w:rPr>
  </w:style>
  <w:style w:type="paragraph" w:styleId="Nivel01">
    <w:name w:val="Nivel 01"/>
    <w:basedOn w:val="Ttulo1"/>
    <w:qFormat/>
    <w:pPr>
      <w:ind w:left="0" w:right="0" w:hanging="0"/>
      <w:jc w:val="both"/>
    </w:pPr>
    <w:rPr>
      <w:rFonts w:ascii="Ecofont_Spranq_eco_Sans" w:hAnsi="Ecofont_Spranq_eco_Sans" w:cs="Times New Roman"/>
      <w:color w:val="000000"/>
      <w:sz w:val="20"/>
      <w:szCs w:val="20"/>
    </w:rPr>
  </w:style>
  <w:style w:type="paragraph" w:styleId="Annotationtext">
    <w:name w:val="annotation text"/>
    <w:basedOn w:val="Padro"/>
    <w:qFormat/>
    <w:pPr/>
    <w:rPr>
      <w:sz w:val="20"/>
      <w:szCs w:val="20"/>
    </w:rPr>
  </w:style>
  <w:style w:type="paragraph" w:styleId="Standard">
    <w:name w:val="Standard"/>
    <w:qFormat/>
    <w:pPr>
      <w:widowControl/>
      <w:suppressAutoHyphens w:val="true"/>
      <w:overflowPunct w:val="true"/>
      <w:bidi w:val="0"/>
      <w:jc w:val="left"/>
      <w:textAlignment w:val="baseline"/>
    </w:pPr>
    <w:rPr>
      <w:rFonts w:ascii="Calibri" w:hAnsi="Calibri" w:eastAsia="Calibri" w:cs="Calibri"/>
      <w:color w:val="00000A"/>
      <w:sz w:val="22"/>
      <w:szCs w:val="22"/>
      <w:lang w:val="pt-BR" w:eastAsia="zh-CN" w:bidi="ar-SA"/>
    </w:rPr>
  </w:style>
  <w:style w:type="paragraph" w:styleId="Textbody">
    <w:name w:val="Text body"/>
    <w:basedOn w:val="Standard"/>
    <w:qFormat/>
    <w:pPr>
      <w:spacing w:before="0" w:after="120"/>
    </w:pPr>
    <w:rPr/>
  </w:style>
  <w:style w:type="paragraph" w:styleId="GradeColoridanfase11">
    <w:name w:val="Grade Colorida - Ênfase 11"/>
    <w:basedOn w:val="Standard"/>
    <w:next w:val="Standard"/>
    <w:qFormat/>
    <w:pPr>
      <w:pBdr>
        <w:top w:val="single" w:sz="4" w:space="1" w:color="000080"/>
        <w:left w:val="single" w:sz="4" w:space="4" w:color="000080"/>
        <w:bottom w:val="single" w:sz="4" w:space="1" w:color="000080"/>
        <w:right w:val="single" w:sz="4" w:space="4" w:color="000080"/>
      </w:pBdr>
      <w:suppressAutoHyphens w:val="false"/>
      <w:spacing w:lineRule="auto" w:line="240" w:before="120" w:after="0"/>
      <w:jc w:val="both"/>
    </w:pPr>
    <w:rPr>
      <w:rFonts w:ascii="Arial" w:hAnsi="Arial" w:cs="Times New Roman"/>
      <w:i/>
      <w:iCs/>
      <w:color w:val="000000"/>
      <w:sz w:val="20"/>
      <w:szCs w:val="24"/>
    </w:rPr>
  </w:style>
  <w:style w:type="paragraph" w:styleId="P30">
    <w:name w:val="P30"/>
    <w:basedOn w:val="Padro"/>
    <w:qFormat/>
    <w:pPr>
      <w:tabs>
        <w:tab w:val="left" w:pos="708" w:leader="none"/>
      </w:tabs>
      <w:jc w:val="both"/>
    </w:pPr>
    <w:rPr>
      <w:b/>
      <w:sz w:val="22"/>
      <w:szCs w:val="20"/>
    </w:rPr>
  </w:style>
  <w:style w:type="paragraph" w:styleId="Xl33">
    <w:name w:val="xl33"/>
    <w:basedOn w:val="Padro"/>
    <w:qFormat/>
    <w:pPr>
      <w:tabs>
        <w:tab w:val="left" w:pos="708" w:leader="none"/>
      </w:tabs>
      <w:spacing w:before="280" w:after="280"/>
      <w:jc w:val="center"/>
    </w:pPr>
    <w:rPr>
      <w:rFonts w:ascii="Arial" w:hAnsi="Arial" w:eastAsia="Arial Unicode MS" w:cs="Arial"/>
      <w:b/>
      <w:bCs/>
      <w:sz w:val="28"/>
      <w:szCs w:val="28"/>
    </w:rPr>
  </w:style>
  <w:style w:type="paragraph" w:styleId="Ttulo31">
    <w:name w:val="Título3"/>
    <w:basedOn w:val="Normal"/>
    <w:qFormat/>
    <w:pPr>
      <w:keepNext/>
      <w:widowControl w:val="false"/>
      <w:suppressAutoHyphens w:val="true"/>
      <w:spacing w:lineRule="auto" w:line="240" w:before="240" w:after="120"/>
    </w:pPr>
    <w:rPr>
      <w:rFonts w:ascii="Arial" w:hAnsi="Arial" w:eastAsia="Microsoft YaHei" w:cs="Mangal"/>
      <w:sz w:val="28"/>
      <w:szCs w:val="28"/>
      <w:lang w:eastAsia="zh-CN" w:bidi="hi-IN"/>
    </w:rPr>
  </w:style>
  <w:style w:type="paragraph" w:styleId="Ttulo21">
    <w:name w:val="Título2"/>
    <w:basedOn w:val="Normal"/>
    <w:qFormat/>
    <w:pPr>
      <w:keepNext/>
      <w:widowControl w:val="false"/>
      <w:suppressAutoHyphens w:val="true"/>
      <w:spacing w:lineRule="auto" w:line="240" w:before="240" w:after="120"/>
    </w:pPr>
    <w:rPr>
      <w:rFonts w:ascii="Arial" w:hAnsi="Arial" w:eastAsia="SimSun" w:cs="Mangal"/>
      <w:sz w:val="28"/>
      <w:szCs w:val="28"/>
      <w:lang w:eastAsia="zh-CN" w:bidi="hi-IN"/>
    </w:rPr>
  </w:style>
  <w:style w:type="paragraph" w:styleId="Ttulo11">
    <w:name w:val="Título1"/>
    <w:basedOn w:val="Normal"/>
    <w:qFormat/>
    <w:pPr>
      <w:keepNext/>
      <w:widowControl w:val="false"/>
      <w:suppressAutoHyphens w:val="true"/>
      <w:spacing w:lineRule="auto" w:line="240" w:before="240" w:after="120"/>
    </w:pPr>
    <w:rPr>
      <w:rFonts w:ascii="Arial" w:hAnsi="Arial" w:eastAsia="SimSun" w:cs="Mangal"/>
      <w:sz w:val="28"/>
      <w:szCs w:val="28"/>
      <w:lang w:eastAsia="zh-CN" w:bidi="hi-IN"/>
    </w:rPr>
  </w:style>
  <w:style w:type="paragraph" w:styleId="WWTtulo">
    <w:name w:val="WW-Título"/>
    <w:basedOn w:val="Ttulo11"/>
    <w:qFormat/>
    <w:pPr/>
    <w:rPr/>
  </w:style>
  <w:style w:type="paragraph" w:styleId="Subttulo">
    <w:name w:val="Subtitle"/>
    <w:basedOn w:val="Ttulo11"/>
    <w:qFormat/>
    <w:pPr>
      <w:jc w:val="center"/>
    </w:pPr>
    <w:rPr>
      <w:i/>
      <w:iCs/>
    </w:rPr>
  </w:style>
  <w:style w:type="paragraph" w:styleId="Legenda1">
    <w:name w:val="Legenda1"/>
    <w:basedOn w:val="Normal"/>
    <w:qFormat/>
    <w:pPr>
      <w:widowControl w:val="false"/>
      <w:suppressLineNumbers/>
      <w:suppressAutoHyphens w:val="true"/>
      <w:spacing w:lineRule="auto" w:line="240" w:before="120" w:after="120"/>
    </w:pPr>
    <w:rPr>
      <w:rFonts w:ascii="Times New Roman" w:hAnsi="Times New Roman" w:eastAsia="SimSun" w:cs="Mangal"/>
      <w:i/>
      <w:iCs/>
      <w:sz w:val="24"/>
      <w:szCs w:val="24"/>
      <w:lang w:eastAsia="zh-CN" w:bidi="hi-IN"/>
    </w:rPr>
  </w:style>
  <w:style w:type="paragraph" w:styleId="Contedodetabela">
    <w:name w:val="Conteúdo de tabela"/>
    <w:basedOn w:val="Normal"/>
    <w:qFormat/>
    <w:pPr>
      <w:widowControl w:val="false"/>
      <w:suppressLineNumbers/>
      <w:suppressAutoHyphens w:val="true"/>
      <w:spacing w:lineRule="auto" w:line="240" w:before="0" w:after="0"/>
    </w:pPr>
    <w:rPr>
      <w:rFonts w:ascii="Times New Roman" w:hAnsi="Times New Roman" w:eastAsia="SimSun" w:cs="Mangal"/>
      <w:sz w:val="24"/>
      <w:szCs w:val="24"/>
      <w:lang w:eastAsia="zh-CN" w:bidi="hi-IN"/>
    </w:rPr>
  </w:style>
  <w:style w:type="paragraph" w:styleId="Contedodatabela">
    <w:name w:val="Conteúdo da tabela"/>
    <w:basedOn w:val="Standard"/>
    <w:qFormat/>
    <w:pPr>
      <w:widowControl w:val="false"/>
      <w:suppressLineNumbers/>
      <w:spacing w:lineRule="auto" w:line="240" w:before="0" w:after="0"/>
    </w:pPr>
    <w:rPr>
      <w:rFonts w:ascii="Times New Roman" w:hAnsi="Times New Roman" w:eastAsia="SimSun" w:cs="Mangal"/>
      <w:sz w:val="24"/>
      <w:szCs w:val="24"/>
      <w:lang w:bidi="hi-IN"/>
    </w:rPr>
  </w:style>
  <w:style w:type="paragraph" w:styleId="Ttulodetabela">
    <w:name w:val="Título de tabela"/>
    <w:basedOn w:val="Contedodetabela"/>
    <w:qFormat/>
    <w:pPr>
      <w:jc w:val="center"/>
      <w:textAlignment w:val="baseline"/>
    </w:pPr>
    <w:rPr>
      <w:b/>
      <w:bCs/>
    </w:rPr>
  </w:style>
  <w:style w:type="paragraph" w:styleId="PargrafodaLista1">
    <w:name w:val="Parágrafo da Lista1"/>
    <w:basedOn w:val="Normal"/>
    <w:qFormat/>
    <w:pPr>
      <w:widowControl w:val="false"/>
      <w:suppressAutoHyphens w:val="true"/>
      <w:spacing w:lineRule="auto" w:line="240" w:before="0" w:after="0"/>
    </w:pPr>
    <w:rPr>
      <w:rFonts w:ascii="Times New Roman" w:hAnsi="Times New Roman" w:eastAsia="SimSun" w:cs="Times New Roman"/>
      <w:sz w:val="24"/>
      <w:szCs w:val="24"/>
      <w:lang w:eastAsia="zh-CN" w:bidi="hi-IN"/>
    </w:rPr>
  </w:style>
  <w:style w:type="paragraph" w:styleId="WWCorpodetexto31">
    <w:name w:val="WW-Corpo de texto 31"/>
    <w:basedOn w:val="Normal"/>
    <w:qFormat/>
    <w:pPr>
      <w:widowControl w:val="false"/>
      <w:suppressAutoHyphens w:val="true"/>
      <w:spacing w:lineRule="auto" w:line="240" w:before="0" w:after="0"/>
    </w:pPr>
    <w:rPr>
      <w:rFonts w:ascii="Times New Roman" w:hAnsi="Times New Roman" w:eastAsia="SimSun" w:cs="Times New Roman"/>
      <w:color w:val="000000"/>
      <w:sz w:val="24"/>
      <w:szCs w:val="20"/>
      <w:lang w:eastAsia="zh-CN" w:bidi="hi-IN"/>
    </w:rPr>
  </w:style>
  <w:style w:type="paragraph" w:styleId="NoSpacing">
    <w:name w:val="No Spacing"/>
    <w:qFormat/>
    <w:pPr>
      <w:widowControl w:val="false"/>
      <w:suppressAutoHyphens w:val="true"/>
      <w:overflowPunct w:val="true"/>
      <w:bidi w:val="0"/>
      <w:spacing w:lineRule="auto" w:line="240" w:before="0" w:after="0"/>
      <w:jc w:val="left"/>
    </w:pPr>
    <w:rPr>
      <w:rFonts w:ascii="Times New Roman" w:hAnsi="Times New Roman" w:eastAsia="SimSun" w:cs="Mangal"/>
      <w:color w:val="00000A"/>
      <w:sz w:val="24"/>
      <w:szCs w:val="21"/>
      <w:lang w:val="pt-BR" w:eastAsia="zh-CN" w:bidi="hi-IN"/>
    </w:rPr>
  </w:style>
  <w:style w:type="paragraph" w:styleId="A010169">
    <w:name w:val="_A010169"/>
    <w:qFormat/>
    <w:pPr>
      <w:widowControl w:val="false"/>
      <w:suppressAutoHyphens w:val="true"/>
      <w:overflowPunct w:val="true"/>
      <w:bidi w:val="0"/>
      <w:spacing w:lineRule="auto" w:line="240" w:before="0" w:after="0"/>
      <w:jc w:val="both"/>
    </w:pPr>
    <w:rPr>
      <w:rFonts w:ascii="Times New Roman" w:hAnsi="Times New Roman" w:eastAsia="Arial" w:cs="Times New Roman"/>
      <w:color w:val="000000"/>
      <w:sz w:val="24"/>
      <w:szCs w:val="20"/>
      <w:lang w:val="pt-BR" w:eastAsia="zh-CN" w:bidi="ar-SA"/>
    </w:rPr>
  </w:style>
  <w:style w:type="paragraph" w:styleId="WWPadro">
    <w:name w:val="WW-Padrão"/>
    <w:qFormat/>
    <w:pPr>
      <w:widowControl/>
      <w:tabs>
        <w:tab w:val="left" w:pos="708" w:leader="none"/>
      </w:tabs>
      <w:suppressAutoHyphens w:val="true"/>
      <w:overflowPunct w:val="true"/>
      <w:bidi w:val="0"/>
      <w:spacing w:lineRule="auto" w:line="240" w:before="0" w:after="0"/>
      <w:jc w:val="left"/>
    </w:pPr>
    <w:rPr>
      <w:rFonts w:ascii="Ecofont_Spranq_eco_Sans" w:hAnsi="Ecofont_Spranq_eco_Sans" w:eastAsia="Times New Roman" w:cs="Tahoma"/>
      <w:color w:val="00000A"/>
      <w:sz w:val="24"/>
      <w:szCs w:val="24"/>
      <w:lang w:val="pt-BR" w:eastAsia="zh-CN" w:bidi="hi-IN"/>
    </w:rPr>
  </w:style>
  <w:style w:type="paragraph" w:styleId="Citao1">
    <w:name w:val="Citação1"/>
    <w:basedOn w:val="Normal"/>
    <w:next w:val="Normal"/>
    <w:qFormat/>
    <w:pPr>
      <w:widowControl w:val="false"/>
      <w:pBdr>
        <w:top w:val="single" w:sz="4" w:space="1" w:color="008080"/>
        <w:left w:val="single" w:sz="4" w:space="4" w:color="008080"/>
        <w:bottom w:val="single" w:sz="4" w:space="1" w:color="008080"/>
        <w:right w:val="single" w:sz="4" w:space="4" w:color="008080"/>
      </w:pBdr>
      <w:shd w:val="clear" w:fill="FFFFCC"/>
      <w:suppressAutoHyphens w:val="true"/>
      <w:spacing w:lineRule="auto" w:line="240" w:before="120" w:after="0"/>
      <w:jc w:val="both"/>
    </w:pPr>
    <w:rPr>
      <w:rFonts w:ascii="Times New Roman" w:hAnsi="Times New Roman" w:eastAsia="Calibri" w:cs="Mangal"/>
      <w:i/>
      <w:iCs/>
      <w:color w:val="000000"/>
      <w:sz w:val="20"/>
      <w:szCs w:val="24"/>
      <w:lang w:eastAsia="zh-CN" w:bidi="hi-IN"/>
    </w:rPr>
  </w:style>
  <w:style w:type="paragraph" w:styleId="Normal1">
    <w:name w:val="Normal1"/>
    <w:qFormat/>
    <w:pPr>
      <w:widowControl w:val="false"/>
      <w:suppressAutoHyphens w:val="true"/>
      <w:overflowPunct w:val="true"/>
      <w:bidi w:val="0"/>
      <w:jc w:val="left"/>
      <w:textAlignment w:val="baseline"/>
    </w:pPr>
    <w:rPr>
      <w:rFonts w:ascii="Calibri" w:hAnsi="Calibri" w:eastAsia="DejaVu Sans" w:cs="DejaVu Sans"/>
      <w:color w:val="00000A"/>
      <w:sz w:val="22"/>
      <w:szCs w:val="22"/>
      <w:lang w:val="pt-BR" w:eastAsia="zh-CN" w:bidi="hi-IN"/>
    </w:rPr>
  </w:style>
  <w:style w:type="paragraph" w:styleId="Xl67">
    <w:name w:val="xl67"/>
    <w:basedOn w:val="Normal"/>
    <w:qFormat/>
    <w:pPr>
      <w:spacing w:lineRule="auto" w:line="240" w:before="280" w:after="280"/>
      <w:jc w:val="center"/>
      <w:textAlignment w:val="center"/>
    </w:pPr>
    <w:rPr>
      <w:rFonts w:ascii="Arial Narrow" w:hAnsi="Arial Narrow" w:eastAsia="Times New Roman" w:cs="Times New Roman"/>
      <w:sz w:val="20"/>
      <w:szCs w:val="20"/>
      <w:lang w:eastAsia="zh-CN"/>
    </w:rPr>
  </w:style>
  <w:style w:type="paragraph" w:styleId="Xl68">
    <w:name w:val="xl68"/>
    <w:basedOn w:val="Normal"/>
    <w:qFormat/>
    <w:pPr>
      <w:spacing w:lineRule="auto" w:line="240" w:before="280" w:after="280"/>
      <w:textAlignment w:val="center"/>
    </w:pPr>
    <w:rPr>
      <w:rFonts w:ascii="Arial Narrow" w:hAnsi="Arial Narrow" w:eastAsia="Times New Roman" w:cs="Times New Roman"/>
      <w:sz w:val="20"/>
      <w:szCs w:val="20"/>
      <w:lang w:eastAsia="zh-CN"/>
    </w:rPr>
  </w:style>
  <w:style w:type="paragraph" w:styleId="Xl69">
    <w:name w:val="xl69"/>
    <w:basedOn w:val="Normal"/>
    <w:qFormat/>
    <w:pPr>
      <w:spacing w:lineRule="auto" w:line="240" w:before="280" w:after="280"/>
      <w:jc w:val="center"/>
      <w:textAlignment w:val="center"/>
    </w:pPr>
    <w:rPr>
      <w:rFonts w:ascii="Arial Narrow" w:hAnsi="Arial Narrow" w:eastAsia="Times New Roman" w:cs="Times New Roman"/>
      <w:sz w:val="20"/>
      <w:szCs w:val="20"/>
      <w:lang w:eastAsia="zh-CN"/>
    </w:rPr>
  </w:style>
  <w:style w:type="paragraph" w:styleId="Xl70">
    <w:name w:val="xl70"/>
    <w:basedOn w:val="Normal"/>
    <w:qFormat/>
    <w:pPr>
      <w:spacing w:lineRule="auto" w:line="240" w:before="280" w:after="280"/>
    </w:pPr>
    <w:rPr>
      <w:rFonts w:ascii="Arial Narrow" w:hAnsi="Arial Narrow" w:eastAsia="Times New Roman" w:cs="Times New Roman"/>
      <w:sz w:val="20"/>
      <w:szCs w:val="20"/>
      <w:lang w:eastAsia="zh-CN"/>
    </w:rPr>
  </w:style>
  <w:style w:type="paragraph" w:styleId="Xl71">
    <w:name w:val="xl71"/>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b/>
      <w:bCs/>
      <w:sz w:val="20"/>
      <w:szCs w:val="20"/>
      <w:lang w:eastAsia="zh-CN"/>
    </w:rPr>
  </w:style>
  <w:style w:type="paragraph" w:styleId="Xl72">
    <w:name w:val="xl72"/>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b/>
      <w:bCs/>
      <w:sz w:val="20"/>
      <w:szCs w:val="20"/>
      <w:lang w:eastAsia="zh-CN"/>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b/>
      <w:bCs/>
      <w:sz w:val="19"/>
      <w:szCs w:val="19"/>
      <w:lang w:eastAsia="zh-CN"/>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sz w:val="20"/>
      <w:szCs w:val="20"/>
      <w:lang w:eastAsia="zh-CN"/>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sz w:val="20"/>
      <w:szCs w:val="20"/>
      <w:lang w:eastAsia="zh-CN"/>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sz w:val="19"/>
      <w:szCs w:val="19"/>
      <w:lang w:eastAsia="zh-CN"/>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sz w:val="19"/>
      <w:szCs w:val="19"/>
      <w:lang w:eastAsia="zh-CN"/>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color w:val="C0504D"/>
      <w:sz w:val="19"/>
      <w:szCs w:val="19"/>
      <w:lang w:eastAsia="zh-CN"/>
    </w:rPr>
  </w:style>
  <w:style w:type="paragraph" w:styleId="ListaColoridanfase11">
    <w:name w:val="Lista Colorida - Ênfase 11"/>
    <w:basedOn w:val="Normal"/>
    <w:qFormat/>
    <w:pPr>
      <w:spacing w:lineRule="auto" w:line="240" w:before="0" w:after="0"/>
      <w:ind w:left="720" w:right="0" w:hanging="0"/>
    </w:pPr>
    <w:rPr>
      <w:rFonts w:ascii="Arial" w:hAnsi="Arial" w:eastAsia="Times New Roman" w:cs="Tahoma"/>
      <w:sz w:val="24"/>
      <w:szCs w:val="24"/>
      <w:lang w:eastAsia="zh-CN"/>
    </w:rPr>
  </w:style>
  <w:style w:type="paragraph" w:styleId="Commarcadores51">
    <w:name w:val="Com marcadores 51"/>
    <w:basedOn w:val="Normal"/>
    <w:qFormat/>
    <w:pPr>
      <w:spacing w:lineRule="auto" w:line="240" w:before="0" w:after="0"/>
    </w:pPr>
    <w:rPr>
      <w:rFonts w:ascii="Arial" w:hAnsi="Arial" w:eastAsia="Times New Roman" w:cs="Tahoma"/>
      <w:sz w:val="24"/>
      <w:szCs w:val="24"/>
      <w:lang w:eastAsia="zh-CN"/>
    </w:rPr>
  </w:style>
  <w:style w:type="paragraph" w:styleId="Textodecomentrio1">
    <w:name w:val="Texto de comentário1"/>
    <w:basedOn w:val="Normal"/>
    <w:qFormat/>
    <w:pPr>
      <w:spacing w:lineRule="auto" w:line="240" w:before="0" w:after="0"/>
    </w:pPr>
    <w:rPr>
      <w:rFonts w:ascii="Arial" w:hAnsi="Arial" w:eastAsia="Times New Roman" w:cs="Tahoma"/>
      <w:sz w:val="24"/>
      <w:szCs w:val="24"/>
      <w:lang w:eastAsia="zh-CN"/>
    </w:rPr>
  </w:style>
  <w:style w:type="paragraph" w:styleId="Font5">
    <w:name w:val="font5"/>
    <w:basedOn w:val="Normal"/>
    <w:qFormat/>
    <w:pPr>
      <w:spacing w:lineRule="auto" w:line="240" w:before="280" w:after="280"/>
    </w:pPr>
    <w:rPr>
      <w:rFonts w:ascii="Times New Roman" w:hAnsi="Times New Roman" w:eastAsia="Times New Roman" w:cs="Times New Roman"/>
      <w:sz w:val="20"/>
      <w:szCs w:val="20"/>
      <w:lang w:eastAsia="zh-CN"/>
    </w:rPr>
  </w:style>
  <w:style w:type="paragraph" w:styleId="Font6">
    <w:name w:val="font6"/>
    <w:basedOn w:val="Normal"/>
    <w:qFormat/>
    <w:pPr>
      <w:spacing w:lineRule="auto" w:line="240" w:before="280" w:after="280"/>
    </w:pPr>
    <w:rPr>
      <w:rFonts w:ascii="Calibri" w:hAnsi="Calibri" w:eastAsia="Times New Roman" w:cs="Times New Roman"/>
      <w:sz w:val="16"/>
      <w:szCs w:val="16"/>
      <w:lang w:eastAsia="zh-CN"/>
    </w:rPr>
  </w:style>
  <w:style w:type="paragraph" w:styleId="Font7">
    <w:name w:val="font7"/>
    <w:basedOn w:val="Normal"/>
    <w:qFormat/>
    <w:pPr>
      <w:spacing w:lineRule="auto" w:line="240" w:before="280" w:after="280"/>
    </w:pPr>
    <w:rPr>
      <w:rFonts w:ascii="Arial" w:hAnsi="Arial" w:eastAsia="Times New Roman" w:cs="Arial"/>
      <w:sz w:val="16"/>
      <w:szCs w:val="16"/>
      <w:lang w:eastAsia="zh-CN"/>
    </w:rPr>
  </w:style>
  <w:style w:type="paragraph" w:styleId="Xl63">
    <w:name w:val="xl63"/>
    <w:basedOn w:val="Normal"/>
    <w:qFormat/>
    <w:pPr>
      <w:spacing w:lineRule="auto" w:line="240" w:before="280" w:after="280"/>
      <w:jc w:val="both"/>
    </w:pPr>
    <w:rPr>
      <w:rFonts w:ascii="Times New Roman" w:hAnsi="Times New Roman" w:eastAsia="Times New Roman" w:cs="Times New Roman"/>
      <w:sz w:val="24"/>
      <w:szCs w:val="24"/>
      <w:lang w:eastAsia="zh-CN"/>
    </w:rPr>
  </w:style>
  <w:style w:type="paragraph" w:styleId="Xl64">
    <w:name w:val="xl64"/>
    <w:basedOn w:val="Normal"/>
    <w:qFormat/>
    <w:pPr>
      <w:spacing w:lineRule="auto" w:line="240" w:before="280" w:after="280"/>
      <w:jc w:val="center"/>
      <w:textAlignment w:val="center"/>
    </w:pPr>
    <w:rPr>
      <w:rFonts w:ascii="Times New Roman" w:hAnsi="Times New Roman" w:eastAsia="Times New Roman" w:cs="Times New Roman"/>
      <w:b/>
      <w:bCs/>
      <w:sz w:val="24"/>
      <w:szCs w:val="24"/>
      <w:lang w:eastAsia="zh-CN"/>
    </w:rPr>
  </w:style>
  <w:style w:type="paragraph" w:styleId="Xl65">
    <w:name w:val="xl65"/>
    <w:basedOn w:val="Normal"/>
    <w:qFormat/>
    <w:pPr>
      <w:spacing w:lineRule="auto" w:line="240" w:before="280" w:after="280"/>
      <w:jc w:val="center"/>
    </w:pPr>
    <w:rPr>
      <w:rFonts w:ascii="Times New Roman" w:hAnsi="Times New Roman" w:eastAsia="Times New Roman" w:cs="Times New Roman"/>
      <w:b/>
      <w:bCs/>
      <w:sz w:val="24"/>
      <w:szCs w:val="24"/>
      <w:lang w:eastAsia="zh-CN"/>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center"/>
    </w:pPr>
    <w:rPr>
      <w:rFonts w:ascii="Times New Roman" w:hAnsi="Times New Roman" w:eastAsia="Times New Roman" w:cs="Times New Roman"/>
      <w:sz w:val="24"/>
      <w:szCs w:val="24"/>
      <w:lang w:eastAsia="zh-CN"/>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hd w:val="clear" w:fill="FFFFFF"/>
      <w:spacing w:lineRule="auto" w:line="240" w:before="280" w:after="280"/>
      <w:jc w:val="center"/>
      <w:textAlignment w:val="center"/>
    </w:pPr>
    <w:rPr>
      <w:rFonts w:ascii="Calibri" w:hAnsi="Calibri" w:eastAsia="Times New Roman" w:cs="Times New Roman"/>
      <w:sz w:val="20"/>
      <w:szCs w:val="20"/>
      <w:lang w:eastAsia="zh-CN"/>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hd w:val="clear" w:fill="FFFFFF"/>
      <w:spacing w:lineRule="auto" w:line="240" w:before="280" w:after="280"/>
      <w:jc w:val="center"/>
      <w:textAlignment w:val="center"/>
    </w:pPr>
    <w:rPr>
      <w:rFonts w:ascii="Calibri" w:hAnsi="Calibri" w:eastAsia="Times New Roman" w:cs="Times New Roman"/>
      <w:sz w:val="20"/>
      <w:szCs w:val="20"/>
      <w:lang w:eastAsia="zh-CN"/>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hd w:val="clear" w:fill="000000"/>
      <w:spacing w:lineRule="auto" w:line="240" w:before="280" w:after="280"/>
      <w:jc w:val="center"/>
      <w:textAlignment w:val="center"/>
    </w:pPr>
    <w:rPr>
      <w:rFonts w:ascii="Calibri" w:hAnsi="Calibri" w:eastAsia="Times New Roman" w:cs="Times New Roman"/>
      <w:b/>
      <w:bCs/>
      <w:color w:val="FFFFFF"/>
      <w:sz w:val="20"/>
      <w:szCs w:val="20"/>
      <w:lang w:eastAsia="zh-CN"/>
    </w:rPr>
  </w:style>
  <w:style w:type="paragraph" w:styleId="Xl82">
    <w:name w:val="xl82"/>
    <w:basedOn w:val="Normal"/>
    <w:qFormat/>
    <w:pPr>
      <w:pBdr>
        <w:top w:val="single" w:sz="4" w:space="0" w:color="000001"/>
        <w:left w:val="single" w:sz="4" w:space="0" w:color="000001"/>
        <w:bottom w:val="single" w:sz="4" w:space="0" w:color="000001"/>
      </w:pBdr>
      <w:shd w:val="clear" w:fill="000000"/>
      <w:spacing w:lineRule="auto" w:line="240" w:before="280" w:after="280"/>
      <w:jc w:val="center"/>
    </w:pPr>
    <w:rPr>
      <w:rFonts w:ascii="Calibri" w:hAnsi="Calibri" w:eastAsia="Times New Roman" w:cs="Times New Roman"/>
      <w:b/>
      <w:bCs/>
      <w:color w:val="FFFFFF"/>
      <w:sz w:val="20"/>
      <w:szCs w:val="20"/>
      <w:lang w:eastAsia="zh-CN"/>
    </w:rPr>
  </w:style>
  <w:style w:type="paragraph" w:styleId="Xl83">
    <w:name w:val="xl83"/>
    <w:basedOn w:val="Normal"/>
    <w:qFormat/>
    <w:pPr>
      <w:pBdr>
        <w:top w:val="single" w:sz="4" w:space="0" w:color="000001"/>
        <w:bottom w:val="single" w:sz="4" w:space="0" w:color="000001"/>
        <w:right w:val="single" w:sz="4" w:space="0" w:color="000001"/>
      </w:pBdr>
      <w:shd w:val="clear" w:fill="000000"/>
      <w:spacing w:lineRule="auto" w:line="240" w:before="280" w:after="280"/>
      <w:jc w:val="center"/>
    </w:pPr>
    <w:rPr>
      <w:rFonts w:ascii="Calibri" w:hAnsi="Calibri" w:eastAsia="Times New Roman" w:cs="Times New Roman"/>
      <w:b/>
      <w:bCs/>
      <w:color w:val="FFFFFF"/>
      <w:sz w:val="20"/>
      <w:szCs w:val="20"/>
      <w:lang w:eastAsia="zh-CN"/>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hd w:val="clear" w:fill="000000"/>
      <w:spacing w:lineRule="auto" w:line="240" w:before="280" w:after="280"/>
      <w:jc w:val="center"/>
      <w:textAlignment w:val="center"/>
    </w:pPr>
    <w:rPr>
      <w:rFonts w:ascii="Calibri" w:hAnsi="Calibri" w:eastAsia="Times New Roman" w:cs="Times New Roman"/>
      <w:b/>
      <w:bCs/>
      <w:color w:val="FFFFFF"/>
      <w:sz w:val="20"/>
      <w:szCs w:val="20"/>
      <w:lang w:eastAsia="zh-CN"/>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hd w:val="clear" w:fill="000000"/>
      <w:spacing w:lineRule="auto" w:line="240" w:before="280" w:after="280"/>
      <w:jc w:val="center"/>
      <w:textAlignment w:val="center"/>
    </w:pPr>
    <w:rPr>
      <w:rFonts w:ascii="Calibri" w:hAnsi="Calibri" w:eastAsia="Times New Roman" w:cs="Times New Roman"/>
      <w:b/>
      <w:bCs/>
      <w:color w:val="FFFFFF"/>
      <w:sz w:val="20"/>
      <w:szCs w:val="20"/>
      <w:lang w:eastAsia="zh-CN"/>
    </w:rPr>
  </w:style>
  <w:style w:type="paragraph" w:styleId="Xl86">
    <w:name w:val="xl86"/>
    <w:basedOn w:val="Normal"/>
    <w:qFormat/>
    <w:pPr>
      <w:pBdr>
        <w:top w:val="single" w:sz="4" w:space="0" w:color="000001"/>
        <w:left w:val="single" w:sz="4" w:space="0" w:color="000001"/>
        <w:bottom w:val="single" w:sz="4" w:space="0" w:color="000001"/>
      </w:pBdr>
      <w:shd w:val="clear" w:fill="D9D9D9"/>
      <w:spacing w:lineRule="auto" w:line="240" w:before="280" w:after="280"/>
      <w:jc w:val="center"/>
    </w:pPr>
    <w:rPr>
      <w:rFonts w:ascii="Calibri" w:hAnsi="Calibri" w:eastAsia="Times New Roman" w:cs="Times New Roman"/>
      <w:b/>
      <w:bCs/>
      <w:sz w:val="20"/>
      <w:szCs w:val="20"/>
      <w:lang w:eastAsia="zh-CN"/>
    </w:rPr>
  </w:style>
  <w:style w:type="paragraph" w:styleId="Xl87">
    <w:name w:val="xl87"/>
    <w:basedOn w:val="Normal"/>
    <w:qFormat/>
    <w:pPr>
      <w:pBdr>
        <w:top w:val="single" w:sz="4" w:space="0" w:color="000001"/>
        <w:bottom w:val="single" w:sz="4" w:space="0" w:color="000001"/>
        <w:right w:val="single" w:sz="4" w:space="0" w:color="000001"/>
      </w:pBdr>
      <w:shd w:val="clear" w:fill="D9D9D9"/>
      <w:spacing w:lineRule="auto" w:line="240" w:before="280" w:after="280"/>
      <w:jc w:val="center"/>
    </w:pPr>
    <w:rPr>
      <w:rFonts w:ascii="Calibri" w:hAnsi="Calibri" w:eastAsia="Times New Roman" w:cs="Times New Roman"/>
      <w:b/>
      <w:bCs/>
      <w:sz w:val="20"/>
      <w:szCs w:val="20"/>
      <w:lang w:eastAsia="zh-CN"/>
    </w:rPr>
  </w:style>
  <w:style w:type="paragraph" w:styleId="Xl88">
    <w:name w:val="xl88"/>
    <w:basedOn w:val="Normal"/>
    <w:qFormat/>
    <w:pPr>
      <w:pBdr>
        <w:top w:val="single" w:sz="4" w:space="0" w:color="000001"/>
        <w:bottom w:val="single" w:sz="4" w:space="0" w:color="000001"/>
        <w:right w:val="single" w:sz="4" w:space="0" w:color="000001"/>
      </w:pBdr>
      <w:shd w:val="clear" w:fill="D9D9D9"/>
      <w:spacing w:lineRule="auto" w:line="240" w:before="280" w:after="280"/>
      <w:jc w:val="center"/>
    </w:pPr>
    <w:rPr>
      <w:rFonts w:ascii="Calibri" w:hAnsi="Calibri" w:eastAsia="Times New Roman" w:cs="Times New Roman"/>
      <w:b/>
      <w:bCs/>
      <w:sz w:val="20"/>
      <w:szCs w:val="20"/>
      <w:lang w:eastAsia="zh-CN"/>
    </w:rPr>
  </w:style>
  <w:style w:type="paragraph" w:styleId="Xl89">
    <w:name w:val="xl89"/>
    <w:basedOn w:val="Normal"/>
    <w:qFormat/>
    <w:pPr>
      <w:pBdr>
        <w:bottom w:val="single" w:sz="8" w:space="0" w:color="000001"/>
        <w:right w:val="single" w:sz="8" w:space="0" w:color="000001"/>
      </w:pBdr>
      <w:shd w:val="clear" w:fill="FFFFFF"/>
      <w:spacing w:lineRule="auto" w:line="240" w:before="280" w:after="280"/>
      <w:jc w:val="center"/>
      <w:textAlignment w:val="center"/>
    </w:pPr>
    <w:rPr>
      <w:rFonts w:ascii="Calibri" w:hAnsi="Calibri" w:eastAsia="Times New Roman" w:cs="Times New Roman"/>
      <w:sz w:val="20"/>
      <w:szCs w:val="20"/>
      <w:lang w:eastAsia="zh-CN"/>
    </w:rPr>
  </w:style>
  <w:style w:type="paragraph" w:styleId="LONormal">
    <w:name w:val="LO-Normal"/>
    <w:qFormat/>
    <w:pPr>
      <w:widowControl w:val="false"/>
      <w:suppressAutoHyphens w:val="true"/>
      <w:overflowPunct w:val="true"/>
      <w:bidi w:val="0"/>
      <w:spacing w:lineRule="auto" w:line="240" w:before="0" w:after="0"/>
      <w:jc w:val="left"/>
    </w:pPr>
    <w:rPr>
      <w:rFonts w:ascii="Liberation Serif" w:hAnsi="Liberation Serif" w:eastAsia="SimSun" w:cs="Mangal"/>
      <w:color w:val="00000A"/>
      <w:sz w:val="24"/>
      <w:szCs w:val="24"/>
      <w:lang w:val="pt-BR" w:eastAsia="zh-CN" w:bidi="hi-IN"/>
    </w:rPr>
  </w:style>
  <w:style w:type="paragraph" w:styleId="Font8">
    <w:name w:val="font8"/>
    <w:basedOn w:val="Normal"/>
    <w:qFormat/>
    <w:pPr>
      <w:spacing w:lineRule="auto" w:line="240" w:before="280" w:after="280"/>
    </w:pPr>
    <w:rPr>
      <w:rFonts w:ascii="Arial" w:hAnsi="Arial" w:eastAsia="Times New Roman" w:cs="Arial"/>
      <w:color w:val="00000A"/>
      <w:sz w:val="20"/>
      <w:szCs w:val="20"/>
    </w:rPr>
  </w:style>
  <w:style w:type="paragraph" w:styleId="Font9">
    <w:name w:val="font9"/>
    <w:basedOn w:val="Normal"/>
    <w:qFormat/>
    <w:pPr>
      <w:spacing w:lineRule="auto" w:line="240" w:before="280" w:after="280"/>
    </w:pPr>
    <w:rPr>
      <w:rFonts w:ascii="Arial" w:hAnsi="Arial" w:eastAsia="Times New Roman" w:cs="Arial"/>
      <w:color w:val="000000"/>
      <w:sz w:val="20"/>
      <w:szCs w:val="20"/>
    </w:rPr>
  </w:style>
  <w:style w:type="paragraph" w:styleId="Font10">
    <w:name w:val="font10"/>
    <w:basedOn w:val="Normal"/>
    <w:qFormat/>
    <w:pPr>
      <w:spacing w:lineRule="auto" w:line="240" w:before="280" w:after="280"/>
    </w:pPr>
    <w:rPr>
      <w:rFonts w:ascii="Arial" w:hAnsi="Arial" w:eastAsia="Times New Roman" w:cs="Arial"/>
      <w:b/>
      <w:bCs/>
      <w:color w:val="00000A"/>
      <w:sz w:val="20"/>
      <w:szCs w:val="20"/>
    </w:rPr>
  </w:style>
  <w:style w:type="paragraph" w:styleId="Font11">
    <w:name w:val="font11"/>
    <w:basedOn w:val="Normal"/>
    <w:qFormat/>
    <w:pPr>
      <w:spacing w:lineRule="auto" w:line="240" w:before="280" w:after="280"/>
    </w:pPr>
    <w:rPr>
      <w:rFonts w:ascii="Arial" w:hAnsi="Arial" w:eastAsia="Times New Roman" w:cs="Arial"/>
      <w:b/>
      <w:bCs/>
      <w:sz w:val="20"/>
      <w:szCs w:val="20"/>
    </w:rPr>
  </w:style>
  <w:style w:type="paragraph" w:styleId="Xl90">
    <w:name w:val="xl90"/>
    <w:basedOn w:val="Normal"/>
    <w:qFormat/>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91">
    <w:name w:val="xl91"/>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92">
    <w:name w:val="xl92"/>
    <w:basedOn w:val="Normal"/>
    <w:qFormat/>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color w:val="000000"/>
      <w:sz w:val="20"/>
      <w:szCs w:val="20"/>
    </w:rPr>
  </w:style>
  <w:style w:type="paragraph" w:styleId="Xl93">
    <w:name w:val="xl93"/>
    <w:basedOn w:val="Normal"/>
    <w:qFormat/>
    <w:pPr>
      <w:spacing w:lineRule="auto" w:line="240" w:before="280" w:after="280"/>
      <w:jc w:val="center"/>
      <w:textAlignment w:val="center"/>
    </w:pPr>
    <w:rPr>
      <w:rFonts w:ascii="Arial" w:hAnsi="Arial" w:eastAsia="Times New Roman" w:cs="Arial"/>
      <w:sz w:val="24"/>
      <w:szCs w:val="24"/>
    </w:rPr>
  </w:style>
  <w:style w:type="paragraph" w:styleId="Xl94">
    <w:name w:val="xl94"/>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95">
    <w:name w:val="xl95"/>
    <w:basedOn w:val="Normal"/>
    <w:qFormat/>
    <w:pPr>
      <w:pBdr>
        <w:top w:val="single" w:sz="4" w:space="0" w:color="00000A"/>
        <w:left w:val="single" w:sz="4" w:space="0" w:color="00000A"/>
        <w:bottom w:val="single" w:sz="4" w:space="0" w:color="00000A"/>
        <w:right w:val="single" w:sz="4" w:space="0" w:color="00000A"/>
      </w:pBdr>
      <w:shd w:val="clear" w:fill="CCCCCC"/>
      <w:spacing w:lineRule="auto" w:line="240" w:before="280" w:after="280"/>
      <w:jc w:val="center"/>
      <w:textAlignment w:val="center"/>
    </w:pPr>
    <w:rPr>
      <w:rFonts w:ascii="Arial" w:hAnsi="Arial" w:eastAsia="Times New Roman" w:cs="Arial"/>
      <w:b/>
      <w:bCs/>
      <w:sz w:val="24"/>
      <w:szCs w:val="24"/>
    </w:rPr>
  </w:style>
  <w:style w:type="paragraph" w:styleId="Xl96">
    <w:name w:val="xl96"/>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97">
    <w:name w:val="xl97"/>
    <w:basedOn w:val="Normal"/>
    <w:qFormat/>
    <w:pPr>
      <w:pBdr>
        <w:top w:val="single" w:sz="4" w:space="0" w:color="00000A"/>
      </w:pBdr>
      <w:spacing w:lineRule="auto" w:line="240" w:before="280" w:after="280"/>
      <w:jc w:val="center"/>
      <w:textAlignment w:val="center"/>
    </w:pPr>
    <w:rPr>
      <w:rFonts w:ascii="Arial" w:hAnsi="Arial" w:eastAsia="Times New Roman" w:cs="Arial"/>
      <w:sz w:val="20"/>
      <w:szCs w:val="20"/>
    </w:rPr>
  </w:style>
  <w:style w:type="paragraph" w:styleId="Xl98">
    <w:name w:val="xl98"/>
    <w:basedOn w:val="Normal"/>
    <w:qFormat/>
    <w:pPr>
      <w:pBdr>
        <w:top w:val="single" w:sz="4" w:space="0" w:color="00000A"/>
        <w:right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99">
    <w:name w:val="xl99"/>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100">
    <w:name w:val="xl100"/>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01">
    <w:name w:val="xl101"/>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02">
    <w:name w:val="xl102"/>
    <w:basedOn w:val="Normal"/>
    <w:qFormat/>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color w:val="000000"/>
      <w:sz w:val="24"/>
      <w:szCs w:val="24"/>
    </w:rPr>
  </w:style>
  <w:style w:type="paragraph" w:styleId="Xl103">
    <w:name w:val="xl103"/>
    <w:basedOn w:val="Normal"/>
    <w:qFormat/>
    <w:pPr>
      <w:spacing w:lineRule="auto" w:line="240" w:before="280" w:after="280"/>
      <w:jc w:val="center"/>
      <w:textAlignment w:val="center"/>
    </w:pPr>
    <w:rPr>
      <w:rFonts w:ascii="Arial" w:hAnsi="Arial" w:eastAsia="Times New Roman" w:cs="Arial"/>
      <w:b/>
      <w:bCs/>
      <w:sz w:val="24"/>
      <w:szCs w:val="24"/>
    </w:rPr>
  </w:style>
  <w:style w:type="paragraph" w:styleId="Xl104">
    <w:name w:val="xl104"/>
    <w:basedOn w:val="Normal"/>
    <w:qFormat/>
    <w:pPr>
      <w:spacing w:lineRule="auto" w:line="240" w:before="280" w:after="280"/>
      <w:jc w:val="center"/>
      <w:textAlignment w:val="center"/>
    </w:pPr>
    <w:rPr>
      <w:rFonts w:ascii="Arial" w:hAnsi="Arial" w:eastAsia="Times New Roman" w:cs="Arial"/>
      <w:color w:val="00000A"/>
      <w:sz w:val="24"/>
      <w:szCs w:val="24"/>
    </w:rPr>
  </w:style>
  <w:style w:type="paragraph" w:styleId="Xl105">
    <w:name w:val="xl105"/>
    <w:basedOn w:val="Normal"/>
    <w:qFormat/>
    <w:pPr>
      <w:pBdr>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106">
    <w:name w:val="xl106"/>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07">
    <w:name w:val="xl107"/>
    <w:basedOn w:val="Normal"/>
    <w:qFormat/>
    <w:pPr>
      <w:shd w:val="clear" w:fill="FFFFFF"/>
      <w:spacing w:lineRule="auto" w:line="240" w:before="280" w:after="280"/>
      <w:jc w:val="center"/>
      <w:textAlignment w:val="center"/>
    </w:pPr>
    <w:rPr>
      <w:rFonts w:ascii="Arial" w:hAnsi="Arial" w:eastAsia="Times New Roman" w:cs="Arial"/>
      <w:sz w:val="24"/>
      <w:szCs w:val="24"/>
    </w:rPr>
  </w:style>
  <w:style w:type="paragraph" w:styleId="Xl108">
    <w:name w:val="xl108"/>
    <w:basedOn w:val="Normal"/>
    <w:qFormat/>
    <w:pPr>
      <w:spacing w:lineRule="auto" w:line="240" w:before="280" w:after="280"/>
      <w:jc w:val="center"/>
      <w:textAlignment w:val="center"/>
    </w:pPr>
    <w:rPr>
      <w:rFonts w:ascii="Arial" w:hAnsi="Arial" w:eastAsia="Times New Roman" w:cs="Arial"/>
      <w:sz w:val="24"/>
      <w:szCs w:val="24"/>
    </w:rPr>
  </w:style>
  <w:style w:type="paragraph" w:styleId="Xl109">
    <w:name w:val="xl109"/>
    <w:basedOn w:val="Normal"/>
    <w:qFormat/>
    <w:pPr>
      <w:spacing w:lineRule="auto" w:line="240" w:before="280" w:after="280"/>
    </w:pPr>
    <w:rPr>
      <w:rFonts w:ascii="Arial" w:hAnsi="Arial" w:eastAsia="Times New Roman" w:cs="Arial"/>
      <w:sz w:val="20"/>
      <w:szCs w:val="20"/>
    </w:rPr>
  </w:style>
  <w:style w:type="paragraph" w:styleId="Xl110">
    <w:name w:val="xl110"/>
    <w:basedOn w:val="Normal"/>
    <w:qFormat/>
    <w:pPr>
      <w:pBdr>
        <w:top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11">
    <w:name w:val="xl111"/>
    <w:basedOn w:val="Normal"/>
    <w:qFormat/>
    <w:pPr>
      <w:pBdr>
        <w:top w:val="single" w:sz="4" w:space="0" w:color="00000A"/>
        <w:bottom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12">
    <w:name w:val="xl112"/>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13">
    <w:name w:val="xl113"/>
    <w:basedOn w:val="Normal"/>
    <w:qFormat/>
    <w:pPr>
      <w:spacing w:lineRule="auto" w:line="240" w:before="280" w:after="280"/>
      <w:jc w:val="center"/>
      <w:textAlignment w:val="center"/>
    </w:pPr>
    <w:rPr>
      <w:rFonts w:ascii="Arial" w:hAnsi="Arial" w:eastAsia="Times New Roman" w:cs="Arial"/>
      <w:b/>
      <w:bCs/>
      <w:color w:val="000000"/>
      <w:sz w:val="24"/>
      <w:szCs w:val="24"/>
    </w:rPr>
  </w:style>
  <w:style w:type="paragraph" w:styleId="Xl114">
    <w:name w:val="xl114"/>
    <w:basedOn w:val="Normal"/>
    <w:qFormat/>
    <w:pPr>
      <w:shd w:val="clear" w:fill="FFFFFF"/>
      <w:spacing w:lineRule="auto" w:line="240" w:before="280" w:after="280"/>
      <w:jc w:val="center"/>
      <w:textAlignment w:val="center"/>
    </w:pPr>
    <w:rPr>
      <w:rFonts w:ascii="Arial" w:hAnsi="Arial" w:eastAsia="Times New Roman" w:cs="Arial"/>
      <w:b/>
      <w:bCs/>
      <w:sz w:val="24"/>
      <w:szCs w:val="24"/>
    </w:rPr>
  </w:style>
  <w:style w:type="paragraph" w:styleId="Xl115">
    <w:name w:val="xl115"/>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16">
    <w:name w:val="xl116"/>
    <w:basedOn w:val="Normal"/>
    <w:qFormat/>
    <w:pPr>
      <w:pBdr>
        <w:top w:val="single" w:sz="4" w:space="0" w:color="00000A"/>
        <w:bottom w:val="single" w:sz="4" w:space="0" w:color="00000A"/>
      </w:pBdr>
      <w:spacing w:lineRule="auto" w:line="240" w:before="280" w:after="280"/>
      <w:jc w:val="center"/>
      <w:textAlignment w:val="center"/>
    </w:pPr>
    <w:rPr>
      <w:rFonts w:ascii="Arial" w:hAnsi="Arial" w:eastAsia="Times New Roman" w:cs="Arial"/>
      <w:color w:val="00000A"/>
      <w:sz w:val="24"/>
      <w:szCs w:val="24"/>
    </w:rPr>
  </w:style>
  <w:style w:type="paragraph" w:styleId="Xl117">
    <w:name w:val="xl117"/>
    <w:basedOn w:val="Normal"/>
    <w:qFormat/>
    <w:pPr>
      <w:pBdr>
        <w:top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18">
    <w:name w:val="xl118"/>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Arial" w:hAnsi="Arial" w:eastAsia="Times New Roman" w:cs="Arial"/>
      <w:color w:val="000000"/>
      <w:sz w:val="24"/>
      <w:szCs w:val="24"/>
    </w:rPr>
  </w:style>
  <w:style w:type="paragraph" w:styleId="Xl119">
    <w:name w:val="xl119"/>
    <w:basedOn w:val="Normal"/>
    <w:qFormat/>
    <w:pPr>
      <w:spacing w:lineRule="auto" w:line="240" w:before="280" w:after="280"/>
      <w:jc w:val="center"/>
    </w:pPr>
    <w:rPr>
      <w:rFonts w:ascii="Times New Roman" w:hAnsi="Times New Roman" w:eastAsia="Times New Roman" w:cs="Times New Roman"/>
      <w:sz w:val="20"/>
      <w:szCs w:val="20"/>
    </w:rPr>
  </w:style>
  <w:style w:type="paragraph" w:styleId="Xl120">
    <w:name w:val="xl120"/>
    <w:basedOn w:val="Normal"/>
    <w:qFormat/>
    <w:pPr>
      <w:pBdr>
        <w:right w:val="single" w:sz="4" w:space="0" w:color="00000A"/>
      </w:pBdr>
      <w:spacing w:lineRule="auto" w:line="240" w:before="280" w:after="280"/>
    </w:pPr>
    <w:rPr>
      <w:rFonts w:ascii="Times New Roman" w:hAnsi="Times New Roman" w:eastAsia="Times New Roman" w:cs="Times New Roman"/>
      <w:sz w:val="20"/>
      <w:szCs w:val="20"/>
    </w:rPr>
  </w:style>
  <w:style w:type="paragraph" w:styleId="Xl121">
    <w:name w:val="xl121"/>
    <w:basedOn w:val="Normal"/>
    <w:qFormat/>
    <w:pPr>
      <w:pBdr>
        <w:top w:val="single" w:sz="4" w:space="0" w:color="00000A"/>
        <w:bottom w:val="single" w:sz="4" w:space="0" w:color="00000A"/>
      </w:pBdr>
      <w:spacing w:lineRule="auto" w:line="240" w:before="280" w:after="280"/>
      <w:textAlignment w:val="center"/>
    </w:pPr>
    <w:rPr>
      <w:rFonts w:ascii="Arial" w:hAnsi="Arial" w:eastAsia="Times New Roman" w:cs="Arial"/>
      <w:color w:val="00000A"/>
      <w:sz w:val="20"/>
      <w:szCs w:val="20"/>
    </w:rPr>
  </w:style>
  <w:style w:type="paragraph" w:styleId="Xl122">
    <w:name w:val="xl122"/>
    <w:basedOn w:val="Normal"/>
    <w:qFormat/>
    <w:pPr>
      <w:pBdr>
        <w:top w:val="single" w:sz="4" w:space="0" w:color="00000A"/>
        <w:bottom w:val="single" w:sz="4" w:space="0" w:color="00000A"/>
        <w:right w:val="single" w:sz="4" w:space="0" w:color="00000A"/>
      </w:pBdr>
      <w:spacing w:lineRule="auto" w:line="240" w:before="280" w:after="280"/>
      <w:textAlignment w:val="center"/>
    </w:pPr>
    <w:rPr>
      <w:rFonts w:ascii="Arial" w:hAnsi="Arial" w:eastAsia="Times New Roman" w:cs="Arial"/>
      <w:color w:val="00000A"/>
      <w:sz w:val="20"/>
      <w:szCs w:val="20"/>
    </w:rPr>
  </w:style>
  <w:style w:type="paragraph" w:styleId="Xl123">
    <w:name w:val="xl123"/>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0"/>
      <w:szCs w:val="20"/>
    </w:rPr>
  </w:style>
  <w:style w:type="paragraph" w:styleId="Xl124">
    <w:name w:val="xl124"/>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0"/>
      <w:szCs w:val="20"/>
    </w:rPr>
  </w:style>
  <w:style w:type="paragraph" w:styleId="Xl125">
    <w:name w:val="xl125"/>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26">
    <w:name w:val="xl126"/>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27">
    <w:name w:val="xl127"/>
    <w:basedOn w:val="Normal"/>
    <w:qFormat/>
    <w:pPr>
      <w:pBdr>
        <w:top w:val="single" w:sz="4" w:space="0" w:color="00000A"/>
        <w:left w:val="single" w:sz="4" w:space="0" w:color="00000A"/>
        <w:bottom w:val="single" w:sz="4" w:space="0" w:color="00000A"/>
        <w:right w:val="single" w:sz="4" w:space="0" w:color="00000A"/>
      </w:pBdr>
      <w:spacing w:lineRule="auto" w:line="240" w:before="280" w:after="280"/>
      <w:jc w:val="center"/>
      <w:textAlignment w:val="top"/>
    </w:pPr>
    <w:rPr>
      <w:rFonts w:ascii="Arial" w:hAnsi="Arial" w:eastAsia="Times New Roman" w:cs="Arial"/>
      <w:b/>
      <w:bCs/>
      <w:color w:val="00000A"/>
      <w:sz w:val="20"/>
      <w:szCs w:val="20"/>
    </w:rPr>
  </w:style>
  <w:style w:type="paragraph" w:styleId="Xl128">
    <w:name w:val="xl128"/>
    <w:basedOn w:val="Normal"/>
    <w:qFormat/>
    <w:pPr>
      <w:pBdr>
        <w:left w:val="single" w:sz="4" w:space="0" w:color="00000A"/>
        <w:bottom w:val="single" w:sz="4" w:space="0" w:color="00000A"/>
      </w:pBdr>
      <w:spacing w:lineRule="auto" w:line="240" w:before="280" w:after="280"/>
      <w:textAlignment w:val="center"/>
    </w:pPr>
    <w:rPr>
      <w:rFonts w:ascii="Arial" w:hAnsi="Arial" w:eastAsia="Times New Roman" w:cs="Arial"/>
      <w:color w:val="00000A"/>
      <w:sz w:val="20"/>
      <w:szCs w:val="20"/>
    </w:rPr>
  </w:style>
  <w:style w:type="paragraph" w:styleId="Xl129">
    <w:name w:val="xl129"/>
    <w:basedOn w:val="Normal"/>
    <w:qFormat/>
    <w:pPr>
      <w:pBdr>
        <w:bottom w:val="single" w:sz="4" w:space="0" w:color="00000A"/>
      </w:pBdr>
      <w:spacing w:lineRule="auto" w:line="240" w:before="280" w:after="280"/>
      <w:textAlignment w:val="center"/>
    </w:pPr>
    <w:rPr>
      <w:rFonts w:ascii="Arial" w:hAnsi="Arial" w:eastAsia="Times New Roman" w:cs="Arial"/>
      <w:color w:val="00000A"/>
      <w:sz w:val="20"/>
      <w:szCs w:val="20"/>
    </w:rPr>
  </w:style>
  <w:style w:type="paragraph" w:styleId="Xl130">
    <w:name w:val="xl130"/>
    <w:basedOn w:val="Normal"/>
    <w:qFormat/>
    <w:pPr>
      <w:spacing w:lineRule="auto" w:line="240" w:before="280" w:after="280"/>
      <w:textAlignment w:val="center"/>
    </w:pPr>
    <w:rPr>
      <w:rFonts w:ascii="Arial" w:hAnsi="Arial" w:eastAsia="Times New Roman" w:cs="Arial"/>
      <w:color w:val="00000A"/>
      <w:sz w:val="20"/>
      <w:szCs w:val="20"/>
    </w:rPr>
  </w:style>
  <w:style w:type="paragraph" w:styleId="Xl131">
    <w:name w:val="xl131"/>
    <w:basedOn w:val="Normal"/>
    <w:qFormat/>
    <w:pPr>
      <w:pBdr>
        <w:top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2">
    <w:name w:val="xl132"/>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33">
    <w:name w:val="xl133"/>
    <w:basedOn w:val="Normal"/>
    <w:qFormat/>
    <w:pPr>
      <w:pBdr>
        <w:bottom w:val="single" w:sz="4" w:space="0" w:color="00000A"/>
      </w:pBdr>
      <w:spacing w:lineRule="auto" w:line="240" w:before="280" w:after="280"/>
      <w:jc w:val="center"/>
      <w:textAlignment w:val="center"/>
    </w:pPr>
    <w:rPr>
      <w:rFonts w:ascii="Arial" w:hAnsi="Arial" w:eastAsia="Times New Roman" w:cs="Arial"/>
      <w:b/>
      <w:bCs/>
      <w:color w:val="000000"/>
      <w:sz w:val="24"/>
      <w:szCs w:val="24"/>
    </w:rPr>
  </w:style>
  <w:style w:type="paragraph" w:styleId="Xl134">
    <w:name w:val="xl134"/>
    <w:basedOn w:val="Normal"/>
    <w:qFormat/>
    <w:pPr>
      <w:pBdr>
        <w:bottom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35">
    <w:name w:val="xl135"/>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6">
    <w:name w:val="xl136"/>
    <w:basedOn w:val="Normal"/>
    <w:qFormat/>
    <w:pPr>
      <w:pBdr>
        <w:top w:val="single" w:sz="4" w:space="0" w:color="00000A"/>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7">
    <w:name w:val="xl137"/>
    <w:basedOn w:val="Normal"/>
    <w:qFormat/>
    <w:pPr>
      <w:pBdr>
        <w:top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8">
    <w:name w:val="xl138"/>
    <w:basedOn w:val="Normal"/>
    <w:qFormat/>
    <w:pPr>
      <w:pBdr>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9">
    <w:name w:val="xl139"/>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Arial" w:hAnsi="Arial" w:eastAsia="Times New Roman" w:cs="Arial"/>
      <w:color w:val="00000A"/>
      <w:sz w:val="24"/>
      <w:szCs w:val="24"/>
    </w:rPr>
  </w:style>
  <w:style w:type="paragraph" w:styleId="Xl140">
    <w:name w:val="xl140"/>
    <w:basedOn w:val="Normal"/>
    <w:qFormat/>
    <w:pPr>
      <w:pBdr>
        <w:top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color w:val="00000A"/>
      <w:sz w:val="24"/>
      <w:szCs w:val="24"/>
    </w:rPr>
  </w:style>
  <w:style w:type="paragraph" w:styleId="Xl141">
    <w:name w:val="xl141"/>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Times New Roman" w:hAnsi="Times New Roman" w:eastAsia="Times New Roman" w:cs="Times New Roman"/>
      <w:sz w:val="20"/>
      <w:szCs w:val="20"/>
    </w:rPr>
  </w:style>
  <w:style w:type="paragraph" w:styleId="Xl142">
    <w:name w:val="xl142"/>
    <w:basedOn w:val="Normal"/>
    <w:qFormat/>
    <w:pPr>
      <w:pBdr>
        <w:left w:val="single" w:sz="4" w:space="0" w:color="00000A"/>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43">
    <w:name w:val="xl143"/>
    <w:basedOn w:val="Normal"/>
    <w:qFormat/>
    <w:pPr>
      <w:pBdr>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44">
    <w:name w:val="xl144"/>
    <w:basedOn w:val="Normal"/>
    <w:qFormat/>
    <w:pPr>
      <w:pBdr>
        <w:bottom w:val="single" w:sz="4" w:space="0" w:color="00000A"/>
        <w:right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45">
    <w:name w:val="xl145"/>
    <w:basedOn w:val="Normal"/>
    <w:qFormat/>
    <w:pPr>
      <w:pBdr>
        <w:top w:val="single" w:sz="4" w:space="0" w:color="00000A"/>
        <w:left w:val="single" w:sz="4" w:space="0" w:color="00000A"/>
        <w:bottom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46">
    <w:name w:val="xl146"/>
    <w:basedOn w:val="Normal"/>
    <w:qFormat/>
    <w:pPr>
      <w:pBdr>
        <w:top w:val="single" w:sz="4" w:space="0" w:color="00000A"/>
        <w:bottom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47">
    <w:name w:val="xl147"/>
    <w:basedOn w:val="Normal"/>
    <w:qFormat/>
    <w:pPr>
      <w:pBdr>
        <w:top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48">
    <w:name w:val="xl148"/>
    <w:basedOn w:val="Normal"/>
    <w:qFormat/>
    <w:pPr>
      <w:pBdr>
        <w:top w:val="single" w:sz="4" w:space="0" w:color="00000A"/>
      </w:pBdr>
      <w:spacing w:lineRule="auto" w:line="240" w:before="280" w:after="280"/>
      <w:jc w:val="center"/>
    </w:pPr>
    <w:rPr>
      <w:rFonts w:ascii="Times New Roman" w:hAnsi="Times New Roman" w:eastAsia="Times New Roman" w:cs="Times New Roman"/>
      <w:sz w:val="20"/>
      <w:szCs w:val="20"/>
    </w:rPr>
  </w:style>
  <w:style w:type="paragraph" w:styleId="Xl149">
    <w:name w:val="xl149"/>
    <w:basedOn w:val="Normal"/>
    <w:qFormat/>
    <w:pPr>
      <w:pBdr>
        <w:top w:val="single" w:sz="4" w:space="0" w:color="00000A"/>
        <w:left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50">
    <w:name w:val="xl150"/>
    <w:basedOn w:val="Normal"/>
    <w:qFormat/>
    <w:pPr>
      <w:pBdr>
        <w:top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51">
    <w:name w:val="xl151"/>
    <w:basedOn w:val="Normal"/>
    <w:qFormat/>
    <w:pPr>
      <w:pBdr>
        <w:left w:val="single" w:sz="4" w:space="0" w:color="00000A"/>
        <w:bottom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52">
    <w:name w:val="xl152"/>
    <w:basedOn w:val="Normal"/>
    <w:qFormat/>
    <w:pPr>
      <w:pBdr>
        <w:bottom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53">
    <w:name w:val="xl153"/>
    <w:basedOn w:val="Normal"/>
    <w:qFormat/>
    <w:pPr>
      <w:pBdr>
        <w:top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54">
    <w:name w:val="xl154"/>
    <w:basedOn w:val="Normal"/>
    <w:qFormat/>
    <w:pPr>
      <w:pBdr>
        <w:top w:val="single" w:sz="4" w:space="0" w:color="00000A"/>
        <w:left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55">
    <w:name w:val="xl155"/>
    <w:basedOn w:val="Normal"/>
    <w:qFormat/>
    <w:pPr>
      <w:pBdr>
        <w:left w:val="single" w:sz="4" w:space="0" w:color="00000A"/>
        <w:bottom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Contedodoquadro">
    <w:name w:val="Conteúdo do quadro"/>
    <w:basedOn w:val="Normal"/>
    <w:qFormat/>
    <w:pPr/>
    <w:rPr/>
  </w:style>
  <w:style w:type="paragraph" w:styleId="TableParagraph">
    <w:name w:val="Table Paragraph"/>
    <w:basedOn w:val="Normal"/>
    <w:qFormat/>
    <w:pPr>
      <w:suppressAutoHyphens w:val="true"/>
    </w:pPr>
    <w:rPr/>
  </w:style>
  <w:style w:type="paragraph" w:styleId="Default">
    <w:name w:val="Default"/>
    <w:qFormat/>
    <w:pPr>
      <w:widowControl/>
      <w:suppressAutoHyphens w:val="true"/>
      <w:overflowPunct w:val="true"/>
      <w:bidi w:val="0"/>
      <w:jc w:val="left"/>
    </w:pPr>
    <w:rPr>
      <w:rFonts w:ascii="Arial" w:hAnsi="Arial" w:eastAsia="Calibri" w:cs="Arial"/>
      <w:color w:val="000000"/>
      <w:sz w:val="24"/>
      <w:szCs w:val="24"/>
      <w:lang w:val="pt-BR" w:eastAsia="zh-CN" w:bidi="ar-SA"/>
    </w:rPr>
  </w:style>
  <w:style w:type="paragraph" w:styleId="PargrafodaLista">
    <w:name w:val="Parágrafo da Lista"/>
    <w:basedOn w:val="Normal"/>
    <w:qFormat/>
    <w:pPr>
      <w:widowControl/>
      <w:suppressAutoHyphens w:val="false"/>
      <w:spacing w:before="0" w:after="0"/>
      <w:ind w:left="720" w:right="0" w:hanging="0"/>
      <w:contextualSpacing/>
    </w:pPr>
    <w:rPr>
      <w:rFonts w:ascii="Times New Roman" w:hAnsi="Times New Roman" w:eastAsia="Times New Roman" w:cs="Times New Roman"/>
      <w:sz w:val="20"/>
      <w:szCs w:val="20"/>
      <w:lang w:bidi="ar-SA"/>
    </w:rPr>
  </w:style>
  <w:style w:type="numbering" w:styleId="NoList">
    <w:name w:val="No List"/>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http://www.comprasnet.gov.br/" TargetMode="External"/><Relationship Id="rId4" Type="http://schemas.openxmlformats.org/officeDocument/2006/relationships/hyperlink" Target="http://www.comprasnet.gov.br/" TargetMode="External"/><Relationship Id="rId5" Type="http://schemas.openxmlformats.org/officeDocument/2006/relationships/hyperlink" Target="http://www.comprasgovernamentais.gov.br/" TargetMode="External"/><Relationship Id="rId6" Type="http://schemas.openxmlformats.org/officeDocument/2006/relationships/hyperlink" Target="http://www.portaldatransparencia.gov.br/ceis" TargetMode="External"/><Relationship Id="rId7" Type="http://schemas.openxmlformats.org/officeDocument/2006/relationships/hyperlink" Target="http://www.cnj.jus.br/improbidade_adm/consultar_requerido.php"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Template>
  <TotalTime>1217</TotalTime>
  <Application>LibreOffice/5.2.6.2$Windows_x86 LibreOffice_project/a3100ed2409ebf1c212f5048fbe377c281438fdc</Application>
  <Pages>80</Pages>
  <Words>39312</Words>
  <Characters>213656</Characters>
  <CharactersWithSpaces>248346</CharactersWithSpaces>
  <Paragraphs>4813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2017-06-01T20:30:00Z</dcterms:created>
  <dc:creator>Adriano</dc:creator>
  <dc:description/>
  <dc:language>pt-BR</dc:language>
  <cp:lastModifiedBy/>
  <cp:lastPrinted>2017-10-27T16:09:00Z</cp:lastPrinted>
  <dcterms:modified xsi:type="dcterms:W3CDTF">2019-01-14T12:24:30Z</dcterms:modified>
  <cp:revision>81</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