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3.png" ContentType="image/png"/>
  <Override PartName="/word/media/image1.jpeg" ContentType="image/jpeg"/>
  <Override PartName="/word/media/image2.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dro"/>
        <w:jc w:val="center"/>
        <w:rPr>
          <w:rFonts w:ascii="Arial" w:hAnsi="Arial" w:eastAsia="Ecofont_Spranq_eco_Sans" w:cs="Arial"/>
          <w:b/>
          <w:b/>
          <w:bCs/>
          <w:sz w:val="20"/>
          <w:szCs w:val="20"/>
        </w:rPr>
      </w:pPr>
      <w:r>
        <w:rPr>
          <w:rFonts w:eastAsia="Ecofont_Spranq_eco_Sans" w:cs="Arial" w:ascii="Arial" w:hAnsi="Arial"/>
          <w:b/>
          <w:bCs/>
          <w:sz w:val="20"/>
          <w:szCs w:val="20"/>
        </w:rPr>
      </w:r>
    </w:p>
    <w:p>
      <w:pPr>
        <w:pStyle w:val="Normal"/>
        <w:spacing w:lineRule="auto" w:line="240" w:before="0" w:after="360"/>
        <w:jc w:val="center"/>
        <w:rPr/>
      </w:pPr>
      <w:r>
        <w:rPr>
          <w:rFonts w:eastAsia="Ecofont_Spranq_eco_Sans" w:cs="Arial" w:ascii="Arial" w:hAnsi="Arial"/>
          <w:b/>
          <w:bCs/>
          <w:sz w:val="20"/>
          <w:szCs w:val="20"/>
        </w:rPr>
        <w:t>ANEXO I</w:t>
      </w:r>
    </w:p>
    <w:p>
      <w:pPr>
        <w:pStyle w:val="Normal"/>
        <w:spacing w:lineRule="auto" w:line="240" w:before="0" w:after="36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 </w:t>
      </w:r>
      <w:r>
        <w:rPr>
          <w:rFonts w:eastAsia="Times New Roman" w:cs="Times New Roman" w:ascii="Times New Roman" w:hAnsi="Times New Roman"/>
          <w:b/>
          <w:bCs/>
          <w:color w:val="000000"/>
          <w:sz w:val="22"/>
          <w:szCs w:val="22"/>
          <w:lang w:val="pt-BR" w:eastAsia="pt-BR" w:bidi="ar-SA"/>
        </w:rPr>
        <w:t>TERMO DE REFERÊNCIA</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Sistema de Registro de Preços</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 xml:space="preserve">PREGÃO ELETRÔNICO </w:t>
      </w:r>
    </w:p>
    <w:p>
      <w:pPr>
        <w:pStyle w:val="Normal"/>
        <w:spacing w:lineRule="auto" w:line="240" w:before="0" w:after="0"/>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Cs/>
          <w:iCs/>
          <w:color w:val="000000"/>
          <w:sz w:val="22"/>
          <w:szCs w:val="22"/>
          <w:lang w:val="pt-BR" w:eastAsia="pt-BR" w:bidi="ar-SA"/>
        </w:rPr>
        <w:t xml:space="preserve">   </w:t>
      </w:r>
      <w:r>
        <w:rPr>
          <w:rFonts w:eastAsia="Times New Roman" w:cs="Times New Roman" w:ascii="Times New Roman" w:hAnsi="Times New Roman"/>
          <w:b/>
          <w:bCs/>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 xml:space="preserve">  </w:t>
      </w:r>
      <w:r>
        <w:rPr>
          <w:rFonts w:eastAsia="Times New Roman" w:cs="Times New Roman" w:ascii="Times New Roman" w:hAnsi="Times New Roman"/>
          <w:b w:val="false"/>
          <w:bCs w:val="false"/>
          <w:iCs/>
          <w:color w:val="000000"/>
          <w:sz w:val="22"/>
          <w:szCs w:val="22"/>
          <w:lang w:val="pt-BR" w:eastAsia="pt-BR" w:bidi="ar-SA"/>
        </w:rPr>
        <w:t>(COMPRAS)</w:t>
      </w:r>
    </w:p>
    <w:p>
      <w:pPr>
        <w:pStyle w:val="Normal"/>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snapToGrid w:val="false"/>
        <w:spacing w:lineRule="auto" w:line="276" w:before="0" w:after="63"/>
        <w:ind w:left="720" w:right="0" w:hanging="0"/>
        <w:jc w:val="center"/>
        <w:rPr/>
      </w:pPr>
      <w:r>
        <w:rPr>
          <w:rStyle w:val="Fontepargpadro"/>
          <w:rFonts w:eastAsia="Times New Roman" w:cs="Times New Roman" w:ascii="Times New Roman" w:hAnsi="Times New Roman"/>
          <w:b/>
          <w:bCs/>
          <w:i w:val="false"/>
          <w:iCs w:val="false"/>
          <w:color w:val="000000"/>
          <w:spacing w:val="0"/>
          <w:sz w:val="22"/>
          <w:szCs w:val="22"/>
          <w:lang w:val="pt-BR" w:eastAsia="pt-BR" w:bidi="ar-SA"/>
        </w:rPr>
        <w:t>INSTITUTO</w:t>
      </w:r>
      <w:r>
        <w:rPr>
          <w:rStyle w:val="Fontepargpadro"/>
          <w:rFonts w:eastAsia="Times New Roman" w:cs="Times New Roman" w:ascii="Times New Roman" w:hAnsi="Times New Roman"/>
          <w:b/>
          <w:bCs/>
          <w:i w:val="false"/>
          <w:iCs w:val="false"/>
          <w:color w:val="000000"/>
          <w:spacing w:val="24"/>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FEDERAL</w:t>
      </w:r>
      <w:r>
        <w:rPr>
          <w:rStyle w:val="Fontepargpadro"/>
          <w:rFonts w:eastAsia="Times New Roman" w:cs="Times New Roman" w:ascii="Times New Roman" w:hAnsi="Times New Roman"/>
          <w:b/>
          <w:bCs/>
          <w:i w:val="false"/>
          <w:iCs w:val="false"/>
          <w:color w:val="000000"/>
          <w:spacing w:val="5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DO</w:t>
      </w:r>
      <w:r>
        <w:rPr>
          <w:rStyle w:val="Fontepargpadro"/>
          <w:rFonts w:eastAsia="Times New Roman" w:cs="Times New Roman" w:ascii="Times New Roman" w:hAnsi="Times New Roman"/>
          <w:b/>
          <w:bCs/>
          <w:i w:val="false"/>
          <w:iCs w:val="false"/>
          <w:color w:val="000000"/>
          <w:spacing w:val="4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SERTÃO</w:t>
      </w:r>
      <w:r>
        <w:rPr>
          <w:rStyle w:val="Fontepargpadro"/>
          <w:rFonts w:eastAsia="Times New Roman" w:cs="Times New Roman" w:ascii="Times New Roman" w:hAnsi="Times New Roman"/>
          <w:b/>
          <w:bCs/>
          <w:i w:val="false"/>
          <w:iCs w:val="false"/>
          <w:color w:val="000000"/>
          <w:spacing w:val="21"/>
          <w:w w:val="99"/>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pacing w:val="0"/>
          <w:sz w:val="22"/>
          <w:szCs w:val="22"/>
          <w:lang w:val="pt-BR" w:eastAsia="pt-BR" w:bidi="ar-SA"/>
        </w:rPr>
        <w:t>PERNAMBUCANO – REITORIA</w:t>
      </w:r>
    </w:p>
    <w:p>
      <w:pPr>
        <w:pStyle w:val="Normal"/>
        <w:jc w:val="center"/>
        <w:rPr>
          <w:rFonts w:ascii="Times New Roman" w:hAnsi="Times New Roman" w:eastAsia="Times New Roman" w:cs="Times New Roman"/>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t>(Processo Administrativo n.° 23600.000001.2019-17)</w:t>
      </w:r>
    </w:p>
    <w:p>
      <w:pPr>
        <w:pStyle w:val="Normal"/>
        <w:spacing w:lineRule="auto" w:line="276" w:before="0" w:after="120"/>
        <w:ind w:left="0" w:right="-15" w:hanging="0"/>
        <w:jc w:val="center"/>
        <w:rPr>
          <w:rFonts w:ascii="Times New Roman" w:hAnsi="Times New Roman" w:eastAsia="Times New Roman" w:cs="Times New Roman"/>
          <w:b/>
          <w:b/>
          <w:bCs/>
          <w:color w:val="000000"/>
          <w:sz w:val="22"/>
          <w:szCs w:val="22"/>
          <w:lang w:val="pt-BR" w:eastAsia="pt-BR" w:bidi="ar-SA"/>
        </w:rPr>
      </w:pPr>
      <w:r>
        <w:rPr>
          <w:rFonts w:eastAsia="Times New Roman" w:cs="Times New Roman" w:ascii="Times New Roman" w:hAnsi="Times New Roman"/>
          <w:b/>
          <w:bCs/>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rPr>
      </w:pPr>
      <w:r>
        <w:rPr>
          <w:rFonts w:eastAsia="Times New Roman" w:cs="Times New Roman" w:ascii="Times New Roman" w:hAnsi="Times New Roman"/>
          <w:b/>
          <w:color w:val="000000"/>
          <w:sz w:val="22"/>
          <w:szCs w:val="22"/>
          <w:lang w:val="pt-BR" w:eastAsia="pt-BR" w:bidi="ar-SA"/>
        </w:rPr>
        <w:t>1. DO OBJETO</w:t>
      </w:r>
    </w:p>
    <w:p>
      <w:pPr>
        <w:pStyle w:val="Normal"/>
        <w:spacing w:lineRule="auto" w:line="276" w:before="120" w:after="120"/>
        <w:ind w:left="425" w:right="0" w:hanging="0"/>
        <w:jc w:val="both"/>
        <w:rPr>
          <w:rFonts w:ascii="Times New Roman" w:hAnsi="Times New Roman"/>
        </w:rPr>
      </w:pPr>
      <w:r>
        <w:rPr>
          <w:rFonts w:eastAsia="Times New Roman" w:cs="Times New Roman" w:ascii="Times New Roman" w:hAnsi="Times New Roman"/>
          <w:b/>
          <w:bCs/>
          <w:i w:val="false"/>
          <w:iCs w:val="false"/>
          <w:color w:val="000000"/>
          <w:sz w:val="22"/>
          <w:szCs w:val="22"/>
          <w:lang w:val="pt-BR" w:eastAsia="pt-BR" w:bidi="ar-SA"/>
        </w:rPr>
        <w:t xml:space="preserve">1.1. </w:t>
      </w:r>
      <w:bookmarkStart w:id="0" w:name="__DdeLink__193163_134665854"/>
      <w:bookmarkStart w:id="1" w:name="__DdeLink__40227_361353220"/>
      <w:r>
        <w:rPr>
          <w:rFonts w:eastAsia="Times New Roman" w:cs="Times New Roman" w:ascii="Times New Roman" w:hAnsi="Times New Roman"/>
          <w:b/>
          <w:bCs/>
          <w:i w:val="false"/>
          <w:iCs w:val="false"/>
          <w:color w:val="000000"/>
          <w:sz w:val="22"/>
          <w:szCs w:val="22"/>
          <w:lang w:val="pt-BR" w:eastAsia="pt-BR" w:bidi="ar-SA"/>
        </w:rPr>
        <w:t>Aquisição de Gêneros Alimentícios para atender aos campi e Reitoria do IF Sertão PE</w:t>
      </w:r>
      <w:bookmarkEnd w:id="1"/>
      <w:r>
        <w:rPr>
          <w:rFonts w:eastAsia="Times New Roman" w:cs="Times New Roman" w:ascii="Times New Roman" w:hAnsi="Times New Roman"/>
          <w:b/>
          <w:bCs/>
          <w:i w:val="false"/>
          <w:iCs w:val="false"/>
          <w:color w:val="000000"/>
          <w:sz w:val="22"/>
          <w:szCs w:val="22"/>
          <w:lang w:val="pt-BR" w:eastAsia="pt-BR" w:bidi="ar-SA"/>
        </w:rPr>
        <w:t>,</w:t>
      </w:r>
      <w:bookmarkEnd w:id="0"/>
      <w:r>
        <w:rPr>
          <w:rFonts w:eastAsia="Times New Roman" w:cs="Times New Roman" w:ascii="Times New Roman" w:hAnsi="Times New Roman"/>
          <w:b w:val="false"/>
          <w:bCs w:val="false"/>
          <w:i w:val="false"/>
          <w:iCs w:val="false"/>
          <w:color w:val="000000"/>
          <w:sz w:val="22"/>
          <w:szCs w:val="22"/>
          <w:lang w:val="pt-BR" w:eastAsia="pt-BR" w:bidi="ar-SA"/>
        </w:rPr>
        <w:t xml:space="preserve"> conforme condições, quantidades, exigências e estimativas, inclusive as encaminhadas pelos órgãos e entidades participantes, estabelecidas neste instrumento:</w:t>
      </w:r>
    </w:p>
    <w:p>
      <w:pPr>
        <w:pStyle w:val="Normal"/>
        <w:spacing w:lineRule="auto" w:line="276" w:before="120" w:after="120"/>
        <w:ind w:left="425"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bCs/>
          <w:i w:val="false"/>
          <w:iCs w:val="false"/>
          <w:color w:val="000000"/>
          <w:sz w:val="22"/>
          <w:szCs w:val="22"/>
          <w:lang w:val="pt-BR" w:eastAsia="pt-BR" w:bidi="ar-SA"/>
        </w:rPr>
        <w:t xml:space="preserve">   </w:t>
      </w:r>
      <w:r>
        <w:rPr>
          <w:rStyle w:val="Fontepargpadro"/>
          <w:rFonts w:eastAsia="Times New Roman" w:cs="Times New Roman" w:ascii="Times New Roman" w:hAnsi="Times New Roman"/>
          <w:b/>
          <w:bCs/>
          <w:i w:val="false"/>
          <w:iCs w:val="false"/>
          <w:color w:val="000000"/>
          <w:sz w:val="22"/>
          <w:szCs w:val="22"/>
          <w:lang w:val="pt-BR" w:eastAsia="pt-BR" w:bidi="ar-SA"/>
        </w:rPr>
        <w:t>1.1.1 PLANILHA DE PREÇOS MÁXIMO ESTIMADOS PELA ADMINISTRAÇÃO:</w:t>
      </w:r>
    </w:p>
    <w:p>
      <w:pPr>
        <w:pStyle w:val="Contedodatabela"/>
        <w:tabs>
          <w:tab w:val="left" w:pos="3030" w:leader="none"/>
        </w:tabs>
        <w:spacing w:lineRule="auto" w:line="240" w:before="0" w:after="0"/>
        <w:jc w:val="center"/>
        <w:textAlignment w:val="center"/>
        <w:rPr>
          <w:rStyle w:val="Fontepargpadro"/>
          <w:rFonts w:ascii="Arial" w:hAnsi="Arial" w:eastAsia="Times New Roman" w:cs="Arial"/>
          <w:b w:val="false"/>
          <w:b w:val="false"/>
          <w:bCs w:val="false"/>
          <w:i w:val="false"/>
          <w:i w:val="false"/>
          <w:iCs w:val="false"/>
          <w:color w:val="000000"/>
          <w:sz w:val="20"/>
          <w:szCs w:val="20"/>
          <w:lang w:val="pt-BR" w:eastAsia="pt-BR" w:bidi="ar-SA"/>
        </w:rPr>
      </w:pPr>
      <w:r>
        <w:rPr>
          <w:rFonts w:eastAsia="Times New Roman" w:cs="Arial" w:ascii="Arial" w:hAnsi="Arial"/>
          <w:b w:val="false"/>
          <w:bCs w:val="false"/>
          <w:i w:val="false"/>
          <w:iCs w:val="false"/>
          <w:color w:val="000000"/>
          <w:sz w:val="20"/>
          <w:szCs w:val="20"/>
          <w:lang w:val="pt-BR" w:eastAsia="pt-BR" w:bidi="ar-SA"/>
        </w:rPr>
      </w:r>
    </w:p>
    <w:tbl>
      <w:tblPr>
        <w:tblW w:w="9874" w:type="dxa"/>
        <w:jc w:val="left"/>
        <w:tblInd w:w="-5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70"/>
        <w:gridCol w:w="1132"/>
        <w:gridCol w:w="4697"/>
        <w:gridCol w:w="861"/>
        <w:gridCol w:w="731"/>
        <w:gridCol w:w="964"/>
        <w:gridCol w:w="1018"/>
      </w:tblGrid>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tabs>
                <w:tab w:val="left" w:pos="3030" w:leader="none"/>
              </w:tabs>
              <w:spacing w:lineRule="auto" w:line="240" w:before="0" w:after="0"/>
              <w:jc w:val="center"/>
              <w:textAlignment w:val="center"/>
              <w:rPr/>
            </w:pPr>
            <w:r>
              <w:rPr>
                <w:rStyle w:val="Fontepargpadro"/>
                <w:rFonts w:cs="Arial"/>
                <w:b/>
                <w:bCs/>
                <w:sz w:val="16"/>
                <w:szCs w:val="16"/>
              </w:rPr>
              <w:t>GRUPO 1: REITORIA – Gêneros Secos</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Nº Item</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Item</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Descrição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Qtd.</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Valor Unitário Estimado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 Estimado</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01</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1ª qualidade. Rotulagem de acordo com a legislação. Pacote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2,67</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320,40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02</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diet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Achocolatado em pó diet, instantâneo, 0% de açúcar. Embalagem de polietileno atóxico, resistente, contendo no máximo 200g. Com selo de aprovação da Associação de Diabetes Juvenil. Na embalagem deverá constar 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17,70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531,00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03</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Açúcar cristal (Kg)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w:t>
            </w:r>
          </w:p>
          <w:p>
            <w:pPr>
              <w:pStyle w:val="Contedodatabela"/>
              <w:spacing w:before="0" w:after="0"/>
              <w:jc w:val="center"/>
              <w:rPr/>
            </w:pPr>
            <w:r>
              <w:rPr>
                <w:sz w:val="14"/>
                <w:szCs w:val="14"/>
              </w:rPr>
              <w:t>1 kg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2,59</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3.108,00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04</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Adoçante (Unidade de 90 ml)</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Adoçante líquido dietético estévia Pura 90mL. Sem aspartame. Sem ciclamato. Sem Sacarina. Sem Acesulfame. Sem sucralose.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14,31</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171,72</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05</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tipo 1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doce maisena, apresentação retangular, sem cheiro.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80,75</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726,75</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06</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tipo 2 (Caixa com 20 pacotes)</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Biscoito salgado cream cracker. Rotulagem de acordo com a legislação. Validade mínima de 6 meses a partir da data de entrega. Caixa c/ 20 pct de 400g.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Caixa c/ 20 unidades</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09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69,80</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628,20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07</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Café moído (Pacote com 250 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w:t>
            </w:r>
          </w:p>
          <w:p>
            <w:pPr>
              <w:pStyle w:val="Contedodatabela"/>
              <w:spacing w:before="0" w:after="0"/>
              <w:jc w:val="center"/>
              <w:rPr/>
            </w:pPr>
            <w:r>
              <w:rPr>
                <w:sz w:val="14"/>
                <w:szCs w:val="14"/>
              </w:rPr>
              <w:t>250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1.800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5,48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9.864,00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08</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tipo 1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5,58</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334,80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textAlignment w:val="center"/>
              <w:rPr/>
            </w:pPr>
            <w:r>
              <w:rPr>
                <w:sz w:val="14"/>
                <w:szCs w:val="14"/>
              </w:rPr>
              <w:t>09</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tipo 2 (Pacote com 200g)</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Pacote c/ 200 g</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120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4,62</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554,40</w:t>
            </w:r>
          </w:p>
        </w:tc>
      </w:tr>
      <w:tr>
        <w:trPr/>
        <w:tc>
          <w:tcPr>
            <w:tcW w:w="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10</w:t>
            </w:r>
          </w:p>
        </w:tc>
        <w:tc>
          <w:tcPr>
            <w:tcW w:w="11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Goiabada (Unidade)</w:t>
            </w:r>
          </w:p>
        </w:tc>
        <w:tc>
          <w:tcPr>
            <w:tcW w:w="469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both"/>
              <w:rPr/>
            </w:pPr>
            <w:r>
              <w:rPr>
                <w:sz w:val="14"/>
                <w:szCs w:val="14"/>
              </w:rPr>
              <w:t>Goiabada em massa, tipo de corte. Embalada potes plásticos resistentes, não amassados, não estufados, que garantam a integridade do produto, até o momento do consumo, contendo 400 g,</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sz w:val="14"/>
                <w:szCs w:val="14"/>
              </w:rPr>
              <w:t>Unidade</w:t>
            </w:r>
          </w:p>
        </w:tc>
        <w:tc>
          <w:tcPr>
            <w:tcW w:w="73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60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4,83</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289,80</w:t>
            </w:r>
          </w:p>
        </w:tc>
      </w:tr>
      <w:tr>
        <w:trPr/>
        <w:tc>
          <w:tcPr>
            <w:tcW w:w="8855"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jc w:val="center"/>
              <w:rPr/>
            </w:pPr>
            <w:r>
              <w:rPr>
                <w:b/>
                <w:bCs/>
                <w:sz w:val="14"/>
                <w:szCs w:val="14"/>
              </w:rPr>
              <w:t>Total em R$</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2" w:type="dxa"/>
            </w:tcMar>
          </w:tcPr>
          <w:p>
            <w:pPr>
              <w:pStyle w:val="Contedodatabela"/>
              <w:spacing w:before="0" w:after="0"/>
              <w:jc w:val="center"/>
              <w:rPr/>
            </w:pPr>
            <w:r>
              <w:rPr>
                <w:b/>
                <w:bCs/>
                <w:sz w:val="14"/>
                <w:szCs w:val="14"/>
              </w:rPr>
              <w:t>16.529,07</w:t>
            </w:r>
          </w:p>
        </w:tc>
      </w:tr>
      <w:tr>
        <w:trPr/>
        <w:tc>
          <w:tcPr>
            <w:tcW w:w="987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tcPr>
          <w:p>
            <w:pPr>
              <w:pStyle w:val="Contedodatabela"/>
              <w:spacing w:before="0" w:after="0"/>
              <w:rPr/>
            </w:pPr>
            <w:r>
              <w:rPr>
                <w:rStyle w:val="Fontepargpadro"/>
                <w:b/>
                <w:bCs/>
                <w:sz w:val="16"/>
                <w:szCs w:val="16"/>
              </w:rPr>
              <w:t xml:space="preserve">Local de Entrega: </w:t>
            </w:r>
            <w:r>
              <w:rPr>
                <w:rStyle w:val="Fontepargpadro"/>
                <w:sz w:val="16"/>
                <w:szCs w:val="16"/>
              </w:rPr>
              <w:t>(Sede da Reitoria)</w:t>
            </w:r>
          </w:p>
          <w:p>
            <w:pPr>
              <w:pStyle w:val="Contedodatabela"/>
              <w:spacing w:before="0" w:after="0"/>
              <w:jc w:val="left"/>
              <w:rPr/>
            </w:pPr>
            <w:r>
              <w:rPr>
                <w:iCs/>
                <w:sz w:val="16"/>
                <w:szCs w:val="16"/>
              </w:rPr>
              <w:t xml:space="preserve">Rua Aristarco Lopes, 240, Centro, Petrolina-PE. </w:t>
            </w:r>
          </w:p>
        </w:tc>
      </w:tr>
    </w:tbl>
    <w:p>
      <w:pPr>
        <w:pStyle w:val="Contedodatabela"/>
        <w:spacing w:before="0" w:after="0"/>
        <w:rPr>
          <w:rStyle w:val="Fontepargpadro"/>
          <w:rFonts w:ascii="Arial" w:hAnsi="Arial"/>
          <w:b/>
          <w:b/>
          <w:bCs/>
          <w:sz w:val="16"/>
          <w:szCs w:val="16"/>
        </w:rPr>
      </w:pPr>
      <w:r>
        <w:rPr>
          <w:rFonts w:ascii="Arial" w:hAnsi="Arial"/>
          <w:b/>
          <w:bCs/>
          <w:sz w:val="16"/>
          <w:szCs w:val="16"/>
        </w:rPr>
      </w:r>
    </w:p>
    <w:p>
      <w:pPr>
        <w:pStyle w:val="Contedodatabela"/>
        <w:spacing w:before="0" w:after="0"/>
        <w:rPr>
          <w:rStyle w:val="Fontepargpadro"/>
          <w:rFonts w:ascii="Arial" w:hAnsi="Arial"/>
          <w:sz w:val="16"/>
          <w:szCs w:val="16"/>
        </w:rPr>
      </w:pPr>
      <w:r>
        <w:rPr>
          <w:rFonts w:ascii="Arial" w:hAnsi="Arial"/>
          <w:sz w:val="16"/>
          <w:szCs w:val="16"/>
        </w:rPr>
      </w:r>
    </w:p>
    <w:p>
      <w:pPr>
        <w:pStyle w:val="Contedodatabela"/>
        <w:spacing w:before="0" w:after="0"/>
        <w:rPr>
          <w:rFonts w:ascii="Arial" w:hAnsi="Arial"/>
          <w:b/>
          <w:b/>
          <w:bCs/>
          <w:iCs/>
          <w:sz w:val="16"/>
          <w:szCs w:val="16"/>
        </w:rPr>
      </w:pPr>
      <w:r>
        <w:rPr>
          <w:rFonts w:ascii="Arial" w:hAnsi="Arial"/>
          <w:b/>
          <w:bCs/>
          <w:iCs/>
          <w:sz w:val="16"/>
          <w:szCs w:val="16"/>
        </w:rPr>
      </w:r>
    </w:p>
    <w:tbl>
      <w:tblPr>
        <w:tblW w:w="9863" w:type="dxa"/>
        <w:jc w:val="left"/>
        <w:tblInd w:w="-5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722"/>
        <w:gridCol w:w="861"/>
        <w:gridCol w:w="4703"/>
        <w:gridCol w:w="800"/>
        <w:gridCol w:w="850"/>
        <w:gridCol w:w="964"/>
        <w:gridCol w:w="5"/>
        <w:gridCol w:w="957"/>
      </w:tblGrid>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iCs/>
                <w:sz w:val="16"/>
                <w:szCs w:val="16"/>
              </w:rPr>
              <w:t>GRUPO 02: CAMPI PETROLINA/OURICURI/SALGUEIRO – Proteínas Animal Bovina</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7.560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169.192,80</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830,40</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3.376</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64.076,48</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4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4.850</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91.810,50</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2.327</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23.293,27</w:t>
            </w:r>
          </w:p>
        </w:tc>
      </w:tr>
      <w:tr>
        <w:trPr/>
        <w:tc>
          <w:tcPr>
            <w:tcW w:w="7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w:t>
            </w:r>
          </w:p>
        </w:tc>
        <w:tc>
          <w:tcPr>
            <w:tcW w:w="8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70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8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2.225</w:t>
            </w:r>
          </w:p>
        </w:tc>
        <w:tc>
          <w:tcPr>
            <w:tcW w:w="96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54.957,50</w:t>
            </w:r>
          </w:p>
        </w:tc>
      </w:tr>
      <w:tr>
        <w:trPr/>
        <w:tc>
          <w:tcPr>
            <w:tcW w:w="8900"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96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404.160,95</w:t>
            </w:r>
          </w:p>
        </w:tc>
      </w:tr>
      <w:tr>
        <w:trPr/>
        <w:tc>
          <w:tcPr>
            <w:tcW w:w="98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03: CAMPI PETROLINA/OURICURI/SALGUEIRO – Proteínas Animal Aves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30.898,56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4.558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54.787,16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23.568,24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Galinha inteira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4.272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39.345,12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bookmarkStart w:id="2" w:name="__DdeLink__35109_649158223"/>
            <w:bookmarkEnd w:id="2"/>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6.663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67.429,56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216.028,64</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b/>
          <w:b/>
          <w:bCs/>
        </w:rPr>
      </w:pPr>
      <w:r>
        <w:rPr>
          <w:b/>
          <w:bCs/>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04: CAMPI PETROLINA/OURICURI/SALGUEIRO – Proteínas Animal Suína, Caprina e Peixes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71.198,40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106.749,44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1.821,60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Lombo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33.099,80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994,70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48.952,00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18,07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b/>
                <w:b/>
                <w:bCs/>
                <w:sz w:val="14"/>
                <w:szCs w:val="14"/>
              </w:rPr>
            </w:pPr>
            <w:r>
              <w:rPr>
                <w:rFonts w:ascii="Arial" w:hAnsi="Arial"/>
                <w:b/>
                <w:bCs/>
                <w:sz w:val="14"/>
                <w:szCs w:val="14"/>
              </w:rPr>
            </w:r>
          </w:p>
          <w:p>
            <w:pPr>
              <w:pStyle w:val="Contedodatabela"/>
              <w:jc w:val="center"/>
              <w:rPr/>
            </w:pPr>
            <w:r>
              <w:rPr>
                <w:b/>
                <w:bCs/>
                <w:sz w:val="14"/>
                <w:szCs w:val="14"/>
              </w:rPr>
              <w:t>27.737,45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3.534,00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294.375,19</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b/>
          <w:b/>
          <w:bCs/>
        </w:rPr>
      </w:pPr>
      <w:r>
        <w:rPr>
          <w:b/>
          <w:bCs/>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05: CAMPI PETROLINA/OURICURI/SALGUEIRO – Derivados de Leite e Ovos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20.982,72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sem sal (Unidade 200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321,03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1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109,50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5.037,00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2 (Pote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1.113,42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3 (Balde com 15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116,75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233,50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coalho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45.420,96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49.884,36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7.004,16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130.417,95</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b/>
          <w:b/>
          <w:bCs/>
          <w:sz w:val="16"/>
          <w:szCs w:val="16"/>
        </w:rPr>
      </w:pPr>
      <w:r>
        <w:rPr>
          <w:rFonts w:ascii="Arial" w:hAnsi="Arial"/>
          <w:b/>
          <w:bCs/>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06: CAMPI PETROLINA/OURICURI/SALGUEIRO – Frios e Embutidos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27.394,14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9.080,72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suína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9.312,60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528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4.926,24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72.649,12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(Embalagem com 3kg)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03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137,80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123.500,62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07: CAMPI PETROLINA/OURICURI/SALGUEIRO – Cereais e Farináceos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1.263,24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5.781,60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18.490,56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polido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4.129,65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2.564,70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564,98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2 (50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Saco 50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149,35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298,70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15.383,16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8.570,52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9.743,58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Preparo rápido. Embalada em sacos de poliéster metalizados. Rotulagem em conformidade à legislação vigente. Prazo de validade mínimo 02 meses a contar a partir da data de entrega . Pacote com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3.058,77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DIET (Pacote com 130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725,40</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71.040,36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rPr>
      </w:pPr>
      <w:r>
        <w:rPr>
          <w:rFonts w:ascii="Arial" w:hAnsi="Arial"/>
          <w:b/>
          <w:bCs/>
          <w:iCs/>
          <w:color w:val="00000A"/>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both"/>
              <w:textAlignment w:val="center"/>
              <w:rPr/>
            </w:pPr>
            <w:r>
              <w:rPr>
                <w:b/>
                <w:bCs/>
                <w:iCs/>
                <w:color w:val="00000A"/>
                <w:sz w:val="16"/>
                <w:szCs w:val="16"/>
              </w:rPr>
              <w:t>GRUPO 08: CAMPI PETROLINA/OURICURI/SALGUEIRO – Leguminosas e Oleaginosas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6.108,75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(Pacote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3.189,90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776,40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1795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7.449,25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10.890,00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5.513,72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Lata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4.546,84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38.474,86</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Fonts w:ascii="Arial" w:hAnsi="Arial"/>
          <w:b/>
          <w:b/>
          <w:bCs/>
          <w:iCs/>
          <w:color w:val="00000A"/>
          <w:sz w:val="16"/>
          <w:szCs w:val="16"/>
          <w:highlight w:val="magenta"/>
        </w:rPr>
      </w:pPr>
      <w:r>
        <w:rPr>
          <w:rFonts w:ascii="Arial" w:hAnsi="Arial"/>
          <w:b/>
          <w:bCs/>
          <w:iCs/>
          <w:color w:val="00000A"/>
          <w:sz w:val="16"/>
          <w:szCs w:val="16"/>
          <w:highlight w:val="magenta"/>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lineRule="auto" w:line="240" w:before="0" w:after="0"/>
              <w:jc w:val="both"/>
              <w:textAlignment w:val="center"/>
              <w:rPr/>
            </w:pPr>
            <w:r>
              <w:rPr>
                <w:b/>
                <w:bCs/>
                <w:iCs/>
                <w:color w:val="00000A"/>
                <w:sz w:val="16"/>
                <w:szCs w:val="16"/>
              </w:rPr>
              <w:t xml:space="preserve">GRUPO 09: CAMPI PETROLINA/OURICURI/SALGUEIRO – Massas Alimentícias, Macarrão e Biscoitos </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80,75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27.051,25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69,80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23.173,60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 com validade de 2 anos a partir da data de entrega, livre de fungos, sem unidades quebradas, embalagem integra, de boa qualidade. Caixa c/ 20 pct de 400g.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com 20 pacotes</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7.391,70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10.137,38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2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p>
            <w:pPr>
              <w:pStyle w:val="Contedodatabela"/>
              <w:jc w:val="center"/>
              <w:rPr>
                <w:rFonts w:ascii="Arial" w:hAnsi="Arial"/>
                <w:b/>
                <w:b/>
                <w:bCs/>
                <w:sz w:val="14"/>
                <w:szCs w:val="14"/>
              </w:rPr>
            </w:pPr>
            <w:r>
              <w:rPr>
                <w:rFonts w:ascii="Arial" w:hAnsi="Arial"/>
                <w:b/>
                <w:bCs/>
                <w:sz w:val="14"/>
                <w:szCs w:val="14"/>
              </w:rPr>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2.959,44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3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15.499,30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4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4.129,84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5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com ovos,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9.674,28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6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integral, pacote de 500g. Padrão superior. Prazo de validade mínimo 06 meses a contar a partir da data de entrega. Rotulagem conforme legislação vigente.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5,68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4.748,48</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Total em R$</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104.765,27</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Fonts w:ascii="Arial" w:hAnsi="Arial"/>
          <w:b/>
          <w:b/>
          <w:bCs/>
          <w:sz w:val="16"/>
          <w:szCs w:val="16"/>
        </w:rPr>
      </w:pPr>
      <w:r>
        <w:rPr>
          <w:rFonts w:ascii="Arial" w:hAnsi="Arial"/>
          <w:b/>
          <w:bCs/>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10: CAMPI PETROLINA/OURICURI/SALGUEIRO – Condimentos, Temperos e Molhos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Cúrcuma (Pacote com 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1.023,57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4.031,04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597,18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718,08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(Pacote com 40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787,15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12,74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4.509,96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Louro em folhas (Pacote com 5g)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em folhas desidratadas. Validade mínima de 6 meses a partir da data de entrega . Pacote com 5 gramas.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1.301,74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(Unidade com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8,78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667,28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(Pacote com 7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7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 (Garrafa com 1 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1 litro</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2.515,04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17,59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2.620,91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(Pacote com 15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15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3.003,77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(Pacote com 250g)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1.652,08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4,02</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3.738,60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pura (100% cebola).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82,34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em pó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em pó puro (100% alho).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42,30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28,88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24,47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48,94</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28.143,68</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Contedodatabela"/>
        <w:spacing w:lineRule="auto" w:line="240" w:before="0" w:after="0"/>
        <w:rPr>
          <w:rFonts w:ascii="Arial" w:hAnsi="Arial"/>
          <w:b/>
          <w:b/>
          <w:bCs/>
          <w:sz w:val="16"/>
          <w:szCs w:val="16"/>
        </w:rPr>
      </w:pPr>
      <w:r>
        <w:rPr>
          <w:rFonts w:ascii="Arial" w:hAnsi="Arial"/>
          <w:b/>
          <w:bCs/>
          <w:sz w:val="16"/>
          <w:szCs w:val="16"/>
        </w:rPr>
      </w:r>
    </w:p>
    <w:tbl>
      <w:tblPr>
        <w:tblW w:w="9978"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1"/>
        <w:gridCol w:w="4368"/>
        <w:gridCol w:w="1075"/>
        <w:gridCol w:w="847"/>
        <w:gridCol w:w="1139"/>
        <w:gridCol w:w="1"/>
        <w:gridCol w:w="1187"/>
      </w:tblGrid>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11: CAMPI PETROLINA/OURICURI/SALGUEIRO – Gêneros Secos</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2,67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2.670,00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17,70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8.319,00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99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16.275,56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828,00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90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14,31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1.273,59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ralado, conservado em óleo vegetal comestível. Rotulagem de acordo com a legislação. Validade mínima de 12 meses a contar a partir da data de entrega à unidade requisitante. Lata c/ 170g.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3.642,30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6.579,26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verdes em conserva. Rotulagem de acordo com a legislação. Balde c/ 2kg.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36,74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955,24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11.948,16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(Caixa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17,27</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932,58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5,48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20.089,68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800</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3.720,00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109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 qualidade. Com S.I.F. Data de validade mínima de 3 meses a contar da data de entrega do produto. Rotulagem em conformidade à legislação. Caixa com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749</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2.261,98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110</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1155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111</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3,59</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2.003,22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112</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1686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5,58</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9.407,88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113</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7032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4,62</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32.487,84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114</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líquido (Caixa com 1 litro)</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 litro</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1995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4,66</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9.296,70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115</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 xml:space="preserve">Goiabada em massa, tipo de corte. Embalada potes plásticos </w:t>
            </w:r>
            <w:bookmarkStart w:id="3" w:name="__DdeLink__45359_590080181"/>
            <w:bookmarkEnd w:id="3"/>
            <w:r>
              <w:rPr>
                <w:sz w:val="14"/>
                <w:szCs w:val="14"/>
              </w:rPr>
              <w:t>resistentes, não amassados, não estufados, que garantam a integridade do produto, até o momento do consumo, contendo 400g,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400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533</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4,83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2.574,39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116</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1126</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4,44</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4.999,44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117</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3,65</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627,80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118</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Lata 250 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1197</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7,21</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8.630,37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119</w:t>
            </w:r>
          </w:p>
        </w:tc>
        <w:tc>
          <w:tcPr>
            <w:tcW w:w="96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Uva passa (Caixa com 10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Uva passa preta, sem semente. Rotulagem de acordo com a legislação vigente. Caixa com 10 Kg.</w:t>
            </w:r>
          </w:p>
        </w:tc>
        <w:tc>
          <w:tcPr>
            <w:tcW w:w="1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10 kg</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185,03</w:t>
            </w:r>
          </w:p>
        </w:tc>
        <w:tc>
          <w:tcPr>
            <w:tcW w:w="11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925,15</w:t>
            </w:r>
          </w:p>
        </w:tc>
      </w:tr>
      <w:tr>
        <w:trPr/>
        <w:tc>
          <w:tcPr>
            <w:tcW w:w="8789"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Normal"/>
              <w:spacing w:before="0" w:after="200"/>
              <w:jc w:val="center"/>
              <w:rPr/>
            </w:pPr>
            <w:r>
              <w:rPr>
                <w:b/>
                <w:bCs/>
                <w:sz w:val="20"/>
                <w:szCs w:val="20"/>
              </w:rPr>
              <w:t xml:space="preserve">Total em R$ </w:t>
            </w:r>
          </w:p>
        </w:tc>
        <w:tc>
          <w:tcPr>
            <w:tcW w:w="11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155.784,24</w:t>
            </w:r>
          </w:p>
        </w:tc>
      </w:tr>
      <w:tr>
        <w:trPr/>
        <w:tc>
          <w:tcPr>
            <w:tcW w:w="9977"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b/>
          <w:b/>
          <w:bCs/>
          <w:iCs/>
          <w:color w:val="00000A"/>
          <w:sz w:val="16"/>
          <w:szCs w:val="16"/>
        </w:rPr>
      </w:pPr>
      <w:r>
        <w:rPr>
          <w:rFonts w:ascii="Arial" w:hAnsi="Arial"/>
          <w:b/>
          <w:bCs/>
          <w:iCs/>
          <w:color w:val="00000A"/>
          <w:sz w:val="16"/>
          <w:szCs w:val="16"/>
        </w:rPr>
      </w:r>
    </w:p>
    <w:tbl>
      <w:tblPr>
        <w:tblW w:w="9982"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96"/>
        <w:gridCol w:w="1140"/>
        <w:gridCol w:w="5"/>
        <w:gridCol w:w="1188"/>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iCs/>
                <w:color w:val="00000A"/>
                <w:sz w:val="16"/>
                <w:szCs w:val="16"/>
              </w:rPr>
              <w:t>GRUPO 12: CAMPI PETROLINA/OURICURI/SALGUEIRO – Agroindústria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Coalho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Coalho líquido com enzima quimosina, poder coagulante 1:3000 embalagem de 200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84,56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líquido alimentício a 50%. Usado na elaboração de queijos.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184,11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176,85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1 (Pacote com 10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Rotulagem de acordo com a legislação. Pacote de 10g.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401,20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2 (Pacote de 500g )</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(Pote com 150 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em pasta para produção de pães. Pote com 150g. Referência ADIPASTA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(Bisnaga com 100ml)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Bisnaga 100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129,45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3.997,52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Purê de batatas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28,63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10.077,76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catupiry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catupiry. Sachê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(Garrafa com 750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750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220,20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312,30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embalagem de 100 g. Validade mínima de 10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8,16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1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2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4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5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285,84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doce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doce – polvilho de mandioca. Validade mínima de 6 meses a partir da entrega. Deve conter na embalagem especificação do produto. Embalagem de 500g.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265,92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(nitrito de sódio). Aplicação em produtos cárneos.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uso alimentício, embalagem com 100 g. Validade mínima de 1 ano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16,61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298,98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sem sabor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em pó sem sabor, também conhecida como gelatina neutra. Embalagem de 1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54,33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4.183,41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Glicose de milho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113,84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Pectina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Pectina em pó, ideal para preparo de geleias. Validade mínima de 1 ano a partir da data de entrega. Pote de 50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678,50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1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2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21,21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Aroma tipo 3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30 ml</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4,49</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250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(Litro)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branco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27,78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444,48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31,30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3.036,10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(Maço)</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calibre 28 a 32 mm, maço com 60 metros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(60 metros)</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59,95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1.258,95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Cereja em calda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Cereja em calda. Embalagem de 100g.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9,19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156,23</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321,00</w:t>
            </w:r>
          </w:p>
        </w:tc>
      </w:tr>
      <w:tr>
        <w:trPr/>
        <w:tc>
          <w:tcPr>
            <w:tcW w:w="879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4"/>
                <w:szCs w:val="14"/>
              </w:rPr>
              <w:t>27.792,46</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Fonts w:ascii="Arial" w:hAnsi="Arial"/>
          <w:b/>
          <w:b/>
          <w:bCs/>
          <w:sz w:val="16"/>
          <w:szCs w:val="16"/>
        </w:rPr>
      </w:pPr>
      <w:r>
        <w:rPr>
          <w:rFonts w:ascii="Arial" w:hAnsi="Arial"/>
          <w:b/>
          <w:bCs/>
          <w:sz w:val="16"/>
          <w:szCs w:val="16"/>
        </w:rPr>
      </w:r>
    </w:p>
    <w:tbl>
      <w:tblPr>
        <w:tblW w:w="9982"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96"/>
        <w:gridCol w:w="1140"/>
        <w:gridCol w:w="5"/>
        <w:gridCol w:w="1188"/>
      </w:tblGrid>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13: CAMPI PETROLINA/OURICURI/SALGUEIRO – Hortifruti</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2454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10.135,02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2434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6.839,54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1.929,60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1.110,78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11.997,36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3.262,98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28.192,32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8393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32.229,12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169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15.922,72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949,50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9.427,20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8.209,32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1.652,17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7.353,81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5.535,81</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1.285,70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179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3042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10.647,00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8.975,76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2.512,64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22.670,80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3610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7.978,10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5386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27.307,02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11.382,60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9006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12.968,64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7.324,88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189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3750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8.287,50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2.935,14</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2.789,15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105,90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Tangerina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Tangerina, tamanho médio, in natura.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15.550,36</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1561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6.275,22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9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9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121,65</w:t>
            </w:r>
          </w:p>
        </w:tc>
      </w:tr>
      <w:tr>
        <w:trPr/>
        <w:tc>
          <w:tcPr>
            <w:tcW w:w="8793"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296.485,01</w:t>
            </w:r>
          </w:p>
        </w:tc>
      </w:tr>
      <w:tr>
        <w:trPr/>
        <w:tc>
          <w:tcPr>
            <w:tcW w:w="9981"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p>
      <w:pPr>
        <w:pStyle w:val="Normal"/>
        <w:spacing w:lineRule="auto" w:line="240" w:before="0" w:after="0"/>
        <w:jc w:val="center"/>
        <w:rPr>
          <w:rFonts w:ascii="Arial" w:hAnsi="Arial"/>
          <w:b/>
          <w:b/>
          <w:bCs/>
          <w:sz w:val="16"/>
          <w:szCs w:val="16"/>
        </w:rPr>
      </w:pPr>
      <w:r>
        <w:rPr>
          <w:rFonts w:ascii="Arial" w:hAnsi="Arial"/>
          <w:b/>
          <w:bCs/>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14: CAMPI PETROLINA/OURICURI/SALGUEIRO – Polpas de Fruta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25.378,60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1512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15.724,80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199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25.197,00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19.606,07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26.270,75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2255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35.471,15</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9.676,05</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rFonts w:eastAsia="Times New Roman" w:cs="Tahoma"/>
                <w:b/>
                <w:bCs/>
                <w:color w:val="00000A"/>
                <w:sz w:val="14"/>
                <w:szCs w:val="14"/>
                <w:highlight w:val="yellow"/>
                <w:lang w:val="pt-BR" w:eastAsia="pt-BR" w:bidi="ar-SA"/>
              </w:rPr>
              <w:t>157.324,42</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iCs/>
                <w:color w:val="00000A"/>
                <w:sz w:val="16"/>
                <w:szCs w:val="16"/>
              </w:rPr>
              <w:t>Rua Maria Luiza de Araújo Gomes Cabral, 791, João de Deus,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r>
    </w:p>
    <w:tbl>
      <w:tblPr>
        <w:tblW w:w="997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99"/>
        <w:gridCol w:w="963"/>
        <w:gridCol w:w="4367"/>
        <w:gridCol w:w="1023"/>
        <w:gridCol w:w="887"/>
        <w:gridCol w:w="1140"/>
        <w:gridCol w:w="3"/>
        <w:gridCol w:w="1192"/>
      </w:tblGrid>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b/>
                <w:bCs/>
                <w:sz w:val="16"/>
                <w:szCs w:val="16"/>
              </w:rPr>
              <w:t>GRUPO 15: CAMPI PETROLINA/SALGUEIRO – Padaria</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Descrição</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Unidade</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 Unitário</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1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em formas individuais,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25.806,00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2 (Pacote com 10 unidades)</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18.298,80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Torradas simples (Pacote com 500g)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6.460,17</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tipo 1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integral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898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7,26</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6.519,48</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tipo 2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forma fatiado verticalmente isento de gordura trans.-acondicionado em pacotes com aproximadamente 500 gramas.-fatiado verticalmente com aproximadamente 25 gramas cada.-embalagens com aproximadamente 20 fatias</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1496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6,15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9.200,40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cachorro quente (Pacote)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34.034,00</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14.354,12</w:t>
            </w:r>
          </w:p>
        </w:tc>
      </w:tr>
      <w:tr>
        <w:trPr/>
        <w:tc>
          <w:tcPr>
            <w:tcW w:w="3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novo, Sem cobertura, contendo data de validade e de fabricação. Embalado individualmente Bolo de cenouracom plástico filme. A unidade deve variar de 2 a 4 kg.</w:t>
            </w:r>
          </w:p>
        </w:tc>
        <w:tc>
          <w:tcPr>
            <w:tcW w:w="102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374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19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7.064,86</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8"/>
                <w:szCs w:val="18"/>
              </w:rPr>
              <w:t xml:space="preserve">Total em R$ </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jc w:val="center"/>
              <w:rPr/>
            </w:pPr>
            <w:r>
              <w:rPr>
                <w:b/>
                <w:bCs/>
                <w:sz w:val="16"/>
                <w:szCs w:val="16"/>
              </w:rPr>
              <w:t>121.737,83</w:t>
            </w:r>
          </w:p>
        </w:tc>
      </w:tr>
      <w:tr>
        <w:trPr/>
        <w:tc>
          <w:tcPr>
            <w:tcW w:w="997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Normal"/>
              <w:spacing w:lineRule="auto" w:line="240" w:before="0" w:after="0"/>
              <w:jc w:val="both"/>
              <w:rPr/>
            </w:pPr>
            <w:r>
              <w:rPr>
                <w:rStyle w:val="Fontepargpadro"/>
                <w:b/>
                <w:bCs/>
                <w:iCs/>
                <w:color w:val="00000A"/>
                <w:sz w:val="16"/>
                <w:szCs w:val="16"/>
              </w:rPr>
              <w:t>Rua Maria Luiza de Araújo Gomes Cabral, 791, João de Deus, Petrolina/PE.</w:t>
            </w:r>
          </w:p>
        </w:tc>
      </w:tr>
      <w:tr>
        <w:trPr/>
        <w:tc>
          <w:tcPr>
            <w:tcW w:w="878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Valor total estimado para os grupos 02 a 15</w:t>
            </w:r>
          </w:p>
        </w:tc>
        <w:tc>
          <w:tcPr>
            <w:tcW w:w="119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2" w:type="dxa"/>
            </w:tcMar>
            <w:vAlign w:val="center"/>
          </w:tcPr>
          <w:p>
            <w:pPr>
              <w:pStyle w:val="Normal"/>
              <w:spacing w:before="0" w:after="200"/>
              <w:jc w:val="center"/>
              <w:rPr/>
            </w:pPr>
            <w:r>
              <w:rPr>
                <w:b/>
                <w:bCs/>
                <w:sz w:val="16"/>
                <w:szCs w:val="16"/>
              </w:rPr>
              <w:t>2.170.031,48</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rPr>
          <w:rStyle w:val="Fontepargpadro"/>
          <w:iCs/>
          <w:color w:val="00000A"/>
          <w:sz w:val="16"/>
          <w:szCs w:val="16"/>
        </w:rPr>
      </w:pPr>
      <w:r>
        <w:rPr>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91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52"/>
        <w:gridCol w:w="1039"/>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 xml:space="preserve">GRUPO 16: </w:t>
            </w:r>
            <w:r>
              <w:rPr>
                <w:rStyle w:val="Fontepargpadro"/>
                <w:sz w:val="16"/>
                <w:szCs w:val="16"/>
              </w:rPr>
              <w:t xml:space="preserve">CAMPUS PET. ZONA RURAL – </w:t>
            </w:r>
            <w:r>
              <w:rPr>
                <w:rStyle w:val="Fontepargpadro"/>
                <w:b/>
                <w:bCs/>
                <w:sz w:val="16"/>
                <w:szCs w:val="16"/>
              </w:rPr>
              <w:t>Proteína Animal Bovina, Frango e Peixe</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193.273,68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8.407,80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6.915</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131.246,70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4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18,93</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7.572,00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1.347</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13.483,47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492</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12.152,40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5.069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46.837,56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6.133</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73.718,66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208,20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 de frango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11.223,08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7.856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186.030,08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420</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13.910,40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33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698.074,03</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Contedodatabela"/>
              <w:spacing w:lineRule="auto" w:line="240" w:before="0" w:after="0"/>
              <w:jc w:val="left"/>
              <w:rPr/>
            </w:pPr>
            <w:r>
              <w:rPr>
                <w:rStyle w:val="Fontepargpadro"/>
                <w:iCs/>
                <w:sz w:val="16"/>
                <w:szCs w:val="16"/>
              </w:rPr>
              <w:t>Rodovia BR 235, KM 22, Projeto Senador Nilo Coelho N4, Petrolina/PE.</w:t>
            </w:r>
          </w:p>
        </w:tc>
      </w:tr>
    </w:tbl>
    <w:p>
      <w:pPr>
        <w:pStyle w:val="Contedodatabela"/>
        <w:spacing w:lineRule="auto" w:line="240" w:before="0" w:after="0"/>
        <w:rPr>
          <w:rStyle w:val="Fontepargpadro"/>
          <w:rFonts w:ascii="Arial" w:hAnsi="Arial"/>
          <w:iCs/>
          <w:sz w:val="16"/>
          <w:szCs w:val="16"/>
        </w:rPr>
      </w:pPr>
      <w:r>
        <w:rPr>
          <w:rFonts w:ascii="Arial" w:hAnsi="Arial"/>
          <w:i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52"/>
        <w:gridCol w:w="1039"/>
        <w:gridCol w:w="900"/>
        <w:gridCol w:w="1140"/>
        <w:gridCol w:w="1120"/>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17: CAMPUS PET. ZONA RURAL – Proteína Animal Suína e Caprina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7.541</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21,19</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159.793,79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14,21</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511,56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584</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14,50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38</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18,07</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686,66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(Kg)</w:t>
            </w:r>
          </w:p>
        </w:tc>
        <w:tc>
          <w:tcPr>
            <w:tcW w:w="435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10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119</w:t>
            </w:r>
          </w:p>
        </w:tc>
        <w:tc>
          <w:tcPr>
            <w:tcW w:w="11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19,00</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2.261,00</w:t>
            </w:r>
          </w:p>
        </w:tc>
      </w:tr>
      <w:tr>
        <w:trPr/>
        <w:tc>
          <w:tcPr>
            <w:tcW w:w="8794"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171.721,01</w:t>
            </w:r>
          </w:p>
        </w:tc>
      </w:tr>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91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4"/>
        <w:gridCol w:w="4364"/>
        <w:gridCol w:w="1037"/>
        <w:gridCol w:w="910"/>
        <w:gridCol w:w="1073"/>
        <w:gridCol w:w="1166"/>
      </w:tblGrid>
      <w:tr>
        <w:trPr/>
        <w:tc>
          <w:tcPr>
            <w:tcW w:w="9914"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lineRule="auto" w:line="240" w:before="0" w:after="0"/>
              <w:ind w:left="360" w:right="0" w:hanging="0"/>
              <w:jc w:val="center"/>
              <w:textAlignment w:val="center"/>
              <w:rPr/>
            </w:pPr>
            <w:r>
              <w:rPr>
                <w:rStyle w:val="Fontepargpadro"/>
                <w:b/>
                <w:bCs/>
                <w:sz w:val="16"/>
                <w:szCs w:val="16"/>
              </w:rPr>
              <w:t>GRUPO 18: CAMPUS PET. ZONA RURAL – Frios e embutidos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229</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244</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4.438,36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230</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231</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232</w:t>
            </w:r>
          </w:p>
        </w:tc>
        <w:tc>
          <w:tcPr>
            <w:tcW w:w="9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209</w:t>
            </w:r>
          </w:p>
        </w:tc>
        <w:tc>
          <w:tcPr>
            <w:tcW w:w="10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5.049,44</w:t>
            </w:r>
          </w:p>
        </w:tc>
      </w:tr>
      <w:tr>
        <w:trPr/>
        <w:tc>
          <w:tcPr>
            <w:tcW w:w="40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233</w:t>
            </w:r>
          </w:p>
        </w:tc>
        <w:tc>
          <w:tcPr>
            <w:tcW w:w="9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(Embalagem com 3kg)</w:t>
            </w:r>
          </w:p>
        </w:tc>
        <w:tc>
          <w:tcPr>
            <w:tcW w:w="4364"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Salsicha hot dog resfriada de frango. Validade mínima de 6 meses a partir da data de entrega no campus solicitante. Embalagem de 3kg</w:t>
            </w:r>
          </w:p>
        </w:tc>
        <w:tc>
          <w:tcPr>
            <w:tcW w:w="1037"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03 kg</w:t>
            </w:r>
          </w:p>
        </w:tc>
        <w:tc>
          <w:tcPr>
            <w:tcW w:w="910"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73"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27,56</w:t>
            </w:r>
          </w:p>
        </w:tc>
        <w:tc>
          <w:tcPr>
            <w:tcW w:w="1166" w:type="dxa"/>
            <w:tcBorders>
              <w:top w:val="single" w:sz="4"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551,20</w:t>
            </w:r>
          </w:p>
        </w:tc>
      </w:tr>
      <w:tr>
        <w:trPr/>
        <w:tc>
          <w:tcPr>
            <w:tcW w:w="874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13.400,00</w:t>
            </w:r>
          </w:p>
        </w:tc>
      </w:tr>
      <w:tr>
        <w:trPr/>
        <w:tc>
          <w:tcPr>
            <w:tcW w:w="991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pPr>
      <w:r>
        <w:rPr/>
      </w:r>
    </w:p>
    <w:tbl>
      <w:tblPr>
        <w:tblW w:w="987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79"/>
        <w:gridCol w:w="987"/>
        <w:gridCol w:w="4367"/>
        <w:gridCol w:w="1020"/>
        <w:gridCol w:w="900"/>
        <w:gridCol w:w="1077"/>
        <w:gridCol w:w="1"/>
        <w:gridCol w:w="1138"/>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lineRule="auto" w:line="240" w:before="0" w:after="0"/>
              <w:jc w:val="center"/>
              <w:rPr/>
            </w:pPr>
            <w:r>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19: CAMPUS PET. ZONA RURAL – Derivados de leite e ovos</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234</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6.380,00</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235</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4663</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33.293,82</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236</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 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29.566,56</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237</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sem sal (Unidade)</w:t>
            </w:r>
          </w:p>
        </w:tc>
        <w:tc>
          <w:tcPr>
            <w:tcW w:w="43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de primeira qualidade sem sal. Validade mínima de 6 meses a partir da data de entrega. Embalagem de 200g, com dados de identificação na embalagem</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11,07</w:t>
            </w:r>
          </w:p>
        </w:tc>
        <w:tc>
          <w:tcPr>
            <w:tcW w:w="113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177,12</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238</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Margarina tipo 3 (Balde com 15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80% de lipídeos, de primeira qualidade, livre de oxidação (ranço) e homogênea. Deverá apresentar validade mínima de 06 (seis) meses a partir da data de entrega.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 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116,75</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700,50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239</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coalho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30,12</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3.012,00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240</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640</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17.619,20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241</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2"/>
                <w:szCs w:val="12"/>
              </w:rPr>
              <w:t>Bandeja com 30 unidades</w:t>
            </w:r>
          </w:p>
        </w:tc>
        <w:tc>
          <w:tcPr>
            <w:tcW w:w="9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1074</w:t>
            </w:r>
          </w:p>
        </w:tc>
        <w:tc>
          <w:tcPr>
            <w:tcW w:w="107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13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14.692,32</w:t>
            </w:r>
          </w:p>
        </w:tc>
      </w:tr>
      <w:tr>
        <w:trPr/>
        <w:tc>
          <w:tcPr>
            <w:tcW w:w="8731"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105.441,52</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7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379"/>
        <w:gridCol w:w="987"/>
        <w:gridCol w:w="4368"/>
        <w:gridCol w:w="1020"/>
        <w:gridCol w:w="838"/>
        <w:gridCol w:w="1063"/>
        <w:gridCol w:w="9"/>
        <w:gridCol w:w="1205"/>
      </w:tblGrid>
      <w:tr>
        <w:trPr/>
        <w:tc>
          <w:tcPr>
            <w:tcW w:w="986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20: CAMPUS PET. ZONA RURAL – Cereais e Farináceos</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242</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344</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2.497,44</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243</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15422</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47.653,98</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244</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616</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2.556,40</w:t>
            </w:r>
          </w:p>
        </w:tc>
      </w:tr>
      <w:tr>
        <w:trPr/>
        <w:tc>
          <w:tcPr>
            <w:tcW w:w="37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245</w:t>
            </w:r>
          </w:p>
        </w:tc>
        <w:tc>
          <w:tcPr>
            <w:tcW w:w="9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Mandioca fina, branca, tipo 1. Industrializada. Rotulagem de acordo com a legislação. Data de validade mínima de 3 meses a contar da data de entrega do produto. Pacote com 01 Kg.</w:t>
            </w:r>
          </w:p>
        </w:tc>
        <w:tc>
          <w:tcPr>
            <w:tcW w:w="10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1428</w:t>
            </w:r>
          </w:p>
        </w:tc>
        <w:tc>
          <w:tcPr>
            <w:tcW w:w="10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4,25</w:t>
            </w:r>
          </w:p>
        </w:tc>
        <w:tc>
          <w:tcPr>
            <w:tcW w:w="121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6.069,00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246</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544</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2.176,00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247</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2 (50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trigo especial, sem fermento, tipo 1, para produção de pães. Deverá apresentar validade mínima de 03 meses a partir da data de entrega. Saco com 50kg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Saco 50 kg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149,35</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2.538,95</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248</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5350</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9.148,50</w:t>
            </w:r>
          </w:p>
        </w:tc>
      </w:tr>
      <w:tr>
        <w:trPr/>
        <w:tc>
          <w:tcPr>
            <w:tcW w:w="379"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249</w:t>
            </w:r>
          </w:p>
        </w:tc>
        <w:tc>
          <w:tcPr>
            <w:tcW w:w="987"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bookmarkStart w:id="4" w:name="__DdeLink__27136_1646513612"/>
            <w:bookmarkEnd w:id="4"/>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202</w:t>
            </w:r>
          </w:p>
        </w:tc>
        <w:tc>
          <w:tcPr>
            <w:tcW w:w="10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214"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723,16</w:t>
            </w:r>
          </w:p>
        </w:tc>
      </w:tr>
      <w:tr>
        <w:trPr/>
        <w:tc>
          <w:tcPr>
            <w:tcW w:w="8664"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20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73.363,43</w:t>
            </w:r>
          </w:p>
        </w:tc>
      </w:tr>
      <w:tr>
        <w:trPr/>
        <w:tc>
          <w:tcPr>
            <w:tcW w:w="986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 xml:space="preserve">Rodovia BR 235, KM 22, Projeto Senador Nilo Coelho N4, Petrolina/PE. </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21: CAMPUS PET. ZONA RURAL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1.068,00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4.672,36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3.973,50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(Unidade de 90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Adoçante líquido dietético estévia Pura 90mL. Sem aspartame. Sem ciclamato. Sem Sacarina. Sem Acesulfame. Sem sucralose.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90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14,31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572,40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em conserva (Lata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Atum ralado, conservado em óleo vegetal comestível. Rotulagem de acordo com a legislação. Validade mínima de 12 meses a contar a partir da data de entrega à unidade requisitante. Lata c/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6,39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11.412,54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831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17.467,62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(Balde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Azeitonas verdes em conserva. Rotulagem de acordo com a legislação. Balde c/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36,74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734,80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15,68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1626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eastAsia="Times New Roman" w:cs="Tahoma"/>
                <w:b/>
                <w:b/>
                <w:bCs/>
                <w:color w:val="00000A"/>
                <w:sz w:val="14"/>
                <w:szCs w:val="14"/>
                <w:lang w:val="pt-BR" w:eastAsia="pt-BR" w:bidi="ar-SA"/>
              </w:rPr>
            </w:pPr>
            <w:r>
              <w:rPr>
                <w:rFonts w:eastAsia="Times New Roman" w:cs="Tahoma" w:ascii="Arial" w:hAnsi="Arial"/>
                <w:b/>
                <w:bCs/>
                <w:color w:val="00000A"/>
                <w:sz w:val="14"/>
                <w:szCs w:val="14"/>
                <w:lang w:val="pt-BR" w:eastAsia="pt-BR" w:bidi="ar-SA"/>
              </w:rPr>
            </w:r>
          </w:p>
          <w:p>
            <w:pPr>
              <w:pStyle w:val="Contedodatabela"/>
              <w:jc w:val="center"/>
              <w:rPr/>
            </w:pPr>
            <w:r>
              <w:rPr>
                <w:rFonts w:eastAsia="Times New Roman" w:cs="Tahoma"/>
                <w:b/>
                <w:bCs/>
                <w:color w:val="00000A"/>
                <w:sz w:val="14"/>
                <w:szCs w:val="14"/>
                <w:lang w:val="pt-BR" w:eastAsia="pt-BR" w:bidi="ar-SA"/>
              </w:rPr>
              <w:t>8.910,48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2.579,08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Goiabada em massa, tipo de corte. Embalada potes plásticos resistentes, não amassados, não estufados, que garantam a integridade do produto, até o momento do consumo, contendo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4,83</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289,80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1.247,40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203</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728,77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674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3.760,92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13.712,16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líquido (Caixa com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Leite líquido semidesnatado, SEM LACTOSE. Rotulagem em conformidade à legislação vigente, com S.I.F. O produto deverá ter validade mínima de 06 meses a partir da data de entrega. Embalagem tipo tetra pack,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01 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4,66</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1.873,32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(Pote com 150g)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Melhorador de farinha em pasta para produção de pães. Pote com 150g. Referência ADIPASTA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94,32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2068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9.181,92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(Bisnaga com 100ml)</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Óleo emulsificante para produção de pães. Preparado para produtos de panificação com aspecto líquido oleoso bege, homogêneo, livre de matérias estranhas, odor e sabor característicos com padrão. Bisnaga com 100mL.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8,63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207,12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1541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7.196,47</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Purê de batatas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812</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28,63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23.247,56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Uva passa (Caixa com 10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Uva passa preta, sem semente. Rotulagem de acordo com a legislação vigente. Caixa com 10 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10 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185,03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2.775,45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122.225,99</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rPr>
          <w:sz w:val="20"/>
          <w:szCs w:val="20"/>
        </w:rPr>
      </w:pPr>
      <w:r>
        <w:rPr>
          <w:sz w:val="20"/>
          <w:szCs w:val="20"/>
        </w:rPr>
      </w:r>
    </w:p>
    <w:p>
      <w:pPr>
        <w:pStyle w:val="Contedodatabela"/>
        <w:numPr>
          <w:ilvl w:val="0"/>
          <w:numId w:val="0"/>
        </w:numPr>
        <w:spacing w:lineRule="auto" w:line="240" w:before="0" w:after="0"/>
        <w:ind w:left="720" w:hanging="0"/>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84"/>
        <w:gridCol w:w="834"/>
        <w:gridCol w:w="1025"/>
        <w:gridCol w:w="1135"/>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22: CAMPUS PET. ZONA RURAL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(Pacote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Castanha de caju 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200</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2.170,00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19,41</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213,51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278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08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6998</w:t>
            </w:r>
          </w:p>
        </w:tc>
        <w:tc>
          <w:tcPr>
            <w:tcW w:w="102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29.041,70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de corda/fradinho/macáçar, tipo 1, limpo. Industrializado. Rotulagem em conformidade à legislação vigente. Deverá apresentar validade mínima de 04 meses a partir da data de entrega. Embalagem com 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910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5.505,50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4049</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24.860,86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130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2.081,30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108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g</w:t>
            </w:r>
          </w:p>
        </w:tc>
        <w:tc>
          <w:tcPr>
            <w:tcW w:w="83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2,93</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58,60</w:t>
            </w:r>
          </w:p>
        </w:tc>
      </w:tr>
      <w:tr>
        <w:trPr/>
        <w:tc>
          <w:tcPr>
            <w:tcW w:w="8674"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5"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64.836,47</w:t>
            </w:r>
          </w:p>
        </w:tc>
      </w:tr>
      <w:tr>
        <w:trPr/>
        <w:tc>
          <w:tcPr>
            <w:tcW w:w="9809" w:type="dxa"/>
            <w:gridSpan w:val="7"/>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23: CAMPUS PET. ZONA RURAL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80,75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807,50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69,80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1.535,60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com validade de 2 anos a partir da data de entrega, livre de fungos, sem unidades quebradas, embalagem integra, de boa qualidade. Caixa c/ 20 pct de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859,50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1186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2.870,12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4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4,94</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247,00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5 (Pacote com 500g)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Macarrão tipo Penne. Massa com ovos, pacote de 500 g. Padrão superior. Prazo de validade mínimo 06 meses a contar a partir da data de entrega. Rotulagem conforme legislação vigente.</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4,62</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231,00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289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Massa Sêmola (Pacote com 500 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505</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5,93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2.994,65</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b/>
                <w:bCs/>
                <w:sz w:val="14"/>
                <w:szCs w:val="14"/>
              </w:rPr>
              <w:t>9.545,37</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20"/>
          <w:szCs w:val="20"/>
        </w:rPr>
      </w:pPr>
      <w:r>
        <w:rPr>
          <w:rFonts w:ascii="Arial" w:hAnsi="Arial"/>
          <w:b/>
          <w:bCs/>
          <w:sz w:val="20"/>
          <w:szCs w:val="20"/>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24: CAMPUS PET. ZONA RURAL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Alecrim (Pacote com 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Alecrim desidratado, com aplicação em culinária, isento de materiais estranhos a sua espécie acondicionado em saco plástico transparente atóxico, resistente e hermeticamente vedado. Pacote 30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3,33</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658,32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1159</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6.235,42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(Pacote com 40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58</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501,70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9.223,76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Louro em folhas (Pacote com 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Louro em folhas </w:t>
            </w:r>
            <w:r>
              <w:rPr>
                <w:rStyle w:val="Fontepargpadro"/>
                <w:sz w:val="14"/>
                <w:szCs w:val="14"/>
              </w:rPr>
              <w:t>Condimento em folhas desidratadas. Validade mínima de 6 meses a partir da data de entrega . Pacote com 5 gramas.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(Unidade com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Maionese industrializada a base de leite, marca nacionalmente conhecida. Rotulagem de acordo com a legislação vigente. Deverá apresentar validade mínima de 6 meses a partir da data de entrega à unidade requisitante. Embalagem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c/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8,78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(Pacote com 7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7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483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946,68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299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 (Garrafa com 1 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Molho de Soja/Shoyu. Sem glutamato monossódico. Rotulagem de acordo com a legislação. Validade mínima de 12 meses a partir da data de entrega à unidade requisitante. Garrafa de 1L.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de 1 litro</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14,29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3.915,46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82</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(Pacote com 15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728</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2.395,12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1801</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1.476,82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(Pacote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137</w:t>
            </w:r>
          </w:p>
        </w:tc>
        <w:tc>
          <w:tcPr>
            <w:tcW w:w="1021"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8,56</w:t>
            </w:r>
          </w:p>
        </w:tc>
        <w:tc>
          <w:tcPr>
            <w:tcW w:w="1124"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1.172,72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863</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3.469,26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em pó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Cebola em pó : </w:t>
            </w:r>
            <w:r>
              <w:rPr>
                <w:rStyle w:val="Fontepargpadro"/>
                <w:sz w:val="14"/>
                <w:szCs w:val="14"/>
              </w:rPr>
              <w:t>Cebola em pó pura (100% cebola). Embalagem com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41,17</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1.399,78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Alho em pó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Alho em pó puro (100% alho). Embalagem com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42,30</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1.438,20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calabresa. Condimento para aplicação em linguiça calabresa e outros embutidos. Composição principal: Sal, aromas naturais e especiarias. Deve ter validade mínima de 10 meses a contar da data da entrega. Embalagens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28,88</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308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Condimento califórnia. Condimento preparado para presunto, com especiarias e sal. Aplicação em presuntos. Embalagem com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24,47</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34.816,61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958"/>
        <w:gridCol w:w="1"/>
        <w:gridCol w:w="1186"/>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25: CAMPUS PET. ZONA RURAL – Agroindústria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34,54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tipo 2 (Pacote de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biológico seco, instantâneo – Células de leveduras Sacharomyces cereviseae e monoestereato de sorbitana. Não necessita ser dissolvido e não necessita de refrigeração.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18,96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(Garrafa com 750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Vinho tinto seco, para preparações culinárias. Rotulagem de acordo com a legislação vigente. Garrafa com 750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750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18,35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Bicarbonato de sódio, embalagem de 100 g. Validade mínima de 10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1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amarela.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2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azul.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3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lilás.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4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Alimentício Líquido – Cor verde. Com Registro no Ministério da Saúde conforme Resolução ANVISA nº 23 de 15 de março de 2000. Validade mínima de 12 meses a partir da data da entrega. Frascos de 10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tipo 5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Corante natural de Urucum líquido: Corante vegetal de urucum para fins alimentícios. Validade mínima de 6 meses a partir da data da entrega. Embalagem de 1 litro.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 litro</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23,25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279,00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Polvilho azedo – polvilho de mandioca. Validade mínima de 6 meses a partir da entrega. Deve conter na embalagem especificação do produto. Embalagem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786,06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Realçador de sabor (glutamato monossódico) realça o sabor dos alimentos sem salgar. Validade mínima de 1 ano a partir da data de entrega. Frasco de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Frasco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8,35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cura (nitrito de sódio). Aplicação em produtos cárneos.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Ácido Cítrico, uso alimentício, embalagem com 100 g. Validade mínima de 1 ano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16,61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66,44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sem sabor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Gelatina em pó sem sabor, também conhecida como gelatina neutra.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 1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54,33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54,33</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Glicose de milho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Glicose de milho, produto de origem vegetal, embalagem com 350 gramas,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350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03</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14,23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Pectina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Pectina em pó, ideal para preparo de geleias. Validade mínima de 1 ano a partir da data de entrega. Pote de 50g.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Pote 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13,57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271,40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1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coco. Aplicação em iogurtes. Com registro no ministério da Saúde. Validade mínima de 10 meses a partir da data de entrega.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2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líquido, sabor morango. Aplicação em iogurtes. Com registro no ministério da Saúde. Validade mínima de 10 meses a partir da data de entrega.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127,26</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329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Aroma tipo 3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Frasco 30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112,25</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abacaxi.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2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ameixa preta.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tipo 3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Saborizante para uso em iogurte – pó sabor morango. Validade mínima de 1 ano a partir da data de entrega. Deve conter na embalagem especificação do produto. Embalagem de 1Kg.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198,12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Frutas cristalizadas 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Embalagem</w:t>
            </w:r>
          </w:p>
          <w:p>
            <w:pPr>
              <w:pStyle w:val="Contedodatabela"/>
              <w:jc w:val="center"/>
              <w:rPr/>
            </w:pPr>
            <w:r>
              <w:rPr>
                <w:b/>
                <w:bCs/>
                <w:sz w:val="14"/>
                <w:szCs w:val="14"/>
              </w:rPr>
              <w:t>250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6,70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710,20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Creme tipo chantilly, Ideal para recheios e coberturas. Validade mínima de 6 meses a partir da data de entrega. Deve conter na embalagem especificação do produto. Embalagem de 1L.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410,64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branco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branco,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08</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27,78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222,24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(Maço)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Tripa suína salgada calibre 28 a 32 mm, maço com 60 metros</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60 metros</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02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59,95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119,90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Cereja em calda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Cereja em calda. Embalagem de 100g.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183,80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339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28</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449,40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(Litro)</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Cloreto de cálcio, líquido alimentício a 50%. Usado na elaboração de queijos. Embalagem de 1 litro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Litro</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101,90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catupiry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Queijo catupiry. Sachê de 500g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500 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442,52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1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61,37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736,44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tipo 2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Fermento lácteo termofílico para iogurte. Fermento lácteo termofílico concentrado liofilizado DVS com Lactobacilus bulgaricus e Streptococus thermophylus. Envelope para 500 litros de leite. Referência: CHR HANSEN.</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58,95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707,40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344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Coalho (Unidade)</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Coalho líquido com enzima quimosina, poder coagulante 1:3000 embalagem de 200 ml.</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359,38</w:t>
            </w:r>
          </w:p>
        </w:tc>
      </w:tr>
      <w:tr>
        <w:trPr/>
        <w:tc>
          <w:tcPr>
            <w:tcW w:w="8622"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7"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9.001,91</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center"/>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958"/>
        <w:gridCol w:w="1"/>
        <w:gridCol w:w="1186"/>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26: CAMPUS PET. ZONA RURAL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comosus), tamanho médio, com polpas firmes e intactas, coloração uniforme,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679</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2.804,27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rFonts w:ascii="Arial" w:hAnsi="Arial"/>
                <w:sz w:val="14"/>
                <w:szCs w:val="14"/>
              </w:rPr>
            </w:pPr>
            <w:r>
              <w:rPr>
                <w:rFonts w:ascii="Arial" w:hAnsi="Arial"/>
                <w:sz w:val="14"/>
                <w:szCs w:val="14"/>
              </w:rPr>
            </w:r>
          </w:p>
          <w:p>
            <w:pPr>
              <w:pStyle w:val="Contedodatabela"/>
              <w:jc w:val="center"/>
              <w:rPr/>
            </w:pPr>
            <w:r>
              <w:rPr>
                <w:sz w:val="14"/>
                <w:szCs w:val="14"/>
              </w:rPr>
              <w:t>346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5564</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15.634,84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803</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2.569,60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13.881,12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12.085,06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228,50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3021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9.425,52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2872</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11.028,48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2673</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9.034,74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Berinjela. Coloração intensa e característica, sem defeitos, brilhantes e com polpa macia e firme.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574</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2.095,10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860</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2.924,00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2012</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26.719,36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1731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3.652,41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4035</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15.494,40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922</w:t>
            </w:r>
          </w:p>
        </w:tc>
        <w:tc>
          <w:tcPr>
            <w:tcW w:w="959" w:type="dxa"/>
            <w:gridSpan w:val="2"/>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186"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3.107,14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1741</w:t>
            </w:r>
          </w:p>
        </w:tc>
        <w:tc>
          <w:tcPr>
            <w:tcW w:w="959"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18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3.116,39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1151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10.462,59</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12.332,40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2899</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10.146,50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208,00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314,00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8520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18.829,20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2764</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8.983,00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369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152,10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2566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3.695,04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9667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23.587,48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373</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374</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Morango (Embalagem de 1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Morango in natura, separada por lotes homogêneos, sem defeitos graves (podridão, danos profundos, frutos passados) sem manchas ou deformação. Embalagem de 1 kg</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22,53</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1.126,50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375</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1147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3.853,92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376</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349</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1.486,74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Quiabo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Quiabo, in natura, de 1ª qualidade, tenros,fresco, verde, de colheita recente, sem sinais de amarelamento, com grau de maturação adequada, isento de substâncias terrosas, sujidades e corpos estranhos.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1147</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5.757,94</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860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3.913,00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379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Tangerina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Tangerina, tamanho médio, in natura.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50</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5,18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259,00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380</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3501</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14.074,02</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381</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Cereja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Tomate cereja, 1ª qualidade, sem machucados, sem furos, firmes. Maduro.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5736</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10,88</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62.407,68</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382</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 xml:space="preserve">Vagem curta verde, tamanho e coloração uniformes, livre de material </w:t>
            </w:r>
            <w:bookmarkStart w:id="5" w:name="__DdeLink__12299_206177796"/>
            <w:bookmarkEnd w:id="5"/>
            <w:r>
              <w:rPr>
                <w:sz w:val="14"/>
                <w:szCs w:val="14"/>
              </w:rPr>
              <w:t>terroso, sem danos causados pelo manuseio ou transporte. Unidade de fornecimento: Quilograma.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2</w:t>
            </w:r>
          </w:p>
        </w:tc>
        <w:tc>
          <w:tcPr>
            <w:tcW w:w="959"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186"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16,22</w:t>
            </w:r>
          </w:p>
        </w:tc>
      </w:tr>
      <w:tr>
        <w:trPr/>
        <w:tc>
          <w:tcPr>
            <w:tcW w:w="8622"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87"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66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316.087,26</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27: CAMPUS PET. ZONA RURAL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386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387</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388</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1.573,00</w:t>
            </w:r>
          </w:p>
        </w:tc>
      </w:tr>
      <w:tr>
        <w:trPr/>
        <w:tc>
          <w:tcPr>
            <w:tcW w:w="400"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sz w:val="14"/>
                <w:szCs w:val="14"/>
              </w:rPr>
              <w:t>389</w:t>
            </w:r>
          </w:p>
        </w:tc>
        <w:tc>
          <w:tcPr>
            <w:tcW w:w="963"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8"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14"/>
                <w:szCs w:val="14"/>
              </w:rPr>
              <w:t>100</w:t>
            </w:r>
          </w:p>
        </w:tc>
        <w:tc>
          <w:tcPr>
            <w:tcW w:w="102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124" w:type="dxa"/>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1.285,00</w:t>
            </w:r>
          </w:p>
        </w:tc>
      </w:tr>
      <w:tr>
        <w:trPr/>
        <w:tc>
          <w:tcPr>
            <w:tcW w:w="8678" w:type="dxa"/>
            <w:gridSpan w:val="6"/>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33FF99" w:val="clear"/>
            <w:tcMar>
              <w:left w:w="-2" w:type="dxa"/>
            </w:tcMar>
            <w:vAlign w:val="center"/>
          </w:tcPr>
          <w:p>
            <w:pPr>
              <w:pStyle w:val="Contedodatabela"/>
              <w:jc w:val="center"/>
              <w:rPr/>
            </w:pPr>
            <w:r>
              <w:rPr>
                <w:rFonts w:eastAsia="Times New Roman" w:cs="Tahoma"/>
                <w:b/>
                <w:bCs/>
                <w:color w:val="00000A"/>
                <w:sz w:val="14"/>
                <w:szCs w:val="14"/>
                <w:lang w:val="pt-BR" w:eastAsia="pt-BR" w:bidi="ar-SA"/>
              </w:rPr>
              <w:t>8.592,00</w:t>
            </w:r>
          </w:p>
        </w:tc>
      </w:tr>
      <w:tr>
        <w:trPr/>
        <w:tc>
          <w:tcPr>
            <w:tcW w:w="9809" w:type="dxa"/>
            <w:gridSpan w:val="8"/>
            <w:tcBorders>
              <w:top w:val="single" w:sz="4" w:space="0" w:color="000001"/>
              <w:left w:val="single" w:sz="2" w:space="0" w:color="000001"/>
              <w:bottom w:val="single" w:sz="4" w:space="0" w:color="000001"/>
              <w:right w:val="single" w:sz="2" w:space="0" w:color="000001"/>
              <w:insideH w:val="single" w:sz="4"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p>
          <w:p>
            <w:pPr>
              <w:pStyle w:val="Normal"/>
              <w:spacing w:lineRule="auto" w:line="240" w:before="0" w:after="0"/>
              <w:jc w:val="both"/>
              <w:rPr/>
            </w:pPr>
            <w:r>
              <w:rPr>
                <w:iCs/>
                <w:color w:val="00000A"/>
                <w:sz w:val="16"/>
                <w:szCs w:val="16"/>
              </w:rPr>
              <w:t>Rodovia BR 235, KM 22, Projeto Senador Nilo Coelho N4,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ITEM 390 CAMPUS PET. ZONA RURAL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de cachorro quente (Pacote)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com 10 unidades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4.550,00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 Zona Rural)</w:t>
            </w:r>
            <w:r>
              <w:rPr>
                <w:b/>
                <w:bCs/>
                <w:iCs/>
                <w:color w:val="00000A"/>
                <w:sz w:val="16"/>
                <w:szCs w:val="16"/>
              </w:rPr>
              <w:t xml:space="preserve">Rodovia BR 235, KM 22, Projeto Senador Nilo Coelho N4, Petrolina/PE. </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Total estimado para os grupos 16 a 27 e Item 390</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FF99" w:val="clear"/>
            <w:tcMar>
              <w:left w:w="-2" w:type="dxa"/>
            </w:tcMar>
            <w:vAlign w:val="center"/>
          </w:tcPr>
          <w:p>
            <w:pPr>
              <w:pStyle w:val="Contedodatabela"/>
              <w:jc w:val="center"/>
              <w:rPr/>
            </w:pPr>
            <w:r>
              <w:rPr>
                <w:b/>
                <w:bCs/>
                <w:sz w:val="16"/>
                <w:szCs w:val="16"/>
              </w:rPr>
              <w:t>1.631.645,60</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28: CAMPUS FLORESTA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2,59</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269,36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b/>
                <w:bCs/>
                <w:sz w:val="14"/>
                <w:szCs w:val="14"/>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2.279,68</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CC" w:val="clear"/>
            <w:tcMar>
              <w:left w:w="-2" w:type="dxa"/>
            </w:tcMar>
            <w:vAlign w:val="center"/>
          </w:tcPr>
          <w:p>
            <w:pPr>
              <w:pStyle w:val="Contedodatabela"/>
              <w:jc w:val="center"/>
              <w:rPr/>
            </w:pPr>
            <w:r>
              <w:rPr>
                <w:rFonts w:eastAsia="Times New Roman" w:cs="Tahoma"/>
                <w:b/>
                <w:bCs/>
                <w:color w:val="00000A"/>
                <w:sz w:val="14"/>
                <w:szCs w:val="14"/>
                <w:lang w:val="pt-BR" w:eastAsia="pt-BR" w:bidi="ar-SA"/>
              </w:rPr>
              <w:t>2.549,04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pPr>
      <w:r>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29: CAMPUS SANTA MARIA DA BOA VISTA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3.240,00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3.945,60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CCFF" w:val="clear"/>
            <w:tcMar>
              <w:left w:w="-2" w:type="dxa"/>
            </w:tcMar>
            <w:vAlign w:val="center"/>
          </w:tcPr>
          <w:p>
            <w:pPr>
              <w:pStyle w:val="Contedodatabela"/>
              <w:jc w:val="center"/>
              <w:rPr/>
            </w:pPr>
            <w:r>
              <w:rPr>
                <w:b/>
                <w:bCs/>
                <w:sz w:val="16"/>
                <w:szCs w:val="16"/>
              </w:rPr>
              <w:t>7.185,60</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6"/>
                <w:szCs w:val="16"/>
              </w:rPr>
              <w:t xml:space="preserve">Local de Entrega: </w:t>
            </w:r>
            <w:r>
              <w:rPr>
                <w:rStyle w:val="Fontepargpadro"/>
                <w:sz w:val="16"/>
                <w:szCs w:val="16"/>
              </w:rPr>
              <w:t>(Sede do Campus Petrolina)</w:t>
            </w:r>
          </w:p>
          <w:p>
            <w:pPr>
              <w:pStyle w:val="Contedodatabela"/>
              <w:spacing w:lineRule="auto" w:line="240" w:before="0" w:after="0"/>
              <w:rPr/>
            </w:pPr>
            <w:r>
              <w:rPr>
                <w:rStyle w:val="Fontepargpadro"/>
                <w:rFonts w:eastAsia="Times New Roman" w:cs="Tahoma"/>
                <w:iCs/>
                <w:color w:val="00000A"/>
                <w:sz w:val="16"/>
                <w:szCs w:val="16"/>
                <w:lang w:val="pt-BR" w:eastAsia="pt-BR" w:bidi="ar-SA"/>
              </w:rPr>
              <w:t>Rua Maria Luzia de Araújo Gomes Cabral, SN, Bairro João de Deus, CEP 56316-686, Petrolina-PE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both"/>
        <w:rPr>
          <w:rFonts w:ascii="Arial" w:hAnsi="Arial"/>
          <w:iCs/>
          <w:color w:val="00000A"/>
          <w:sz w:val="14"/>
          <w:szCs w:val="14"/>
        </w:rPr>
      </w:pPr>
      <w:r>
        <w:rPr>
          <w:rFonts w:ascii="Arial" w:hAnsi="Arial"/>
          <w:iCs/>
          <w:color w:val="00000A"/>
          <w:sz w:val="14"/>
          <w:szCs w:val="14"/>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14"/>
        <w:gridCol w:w="7"/>
        <w:gridCol w:w="1124"/>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30: CAMPUS SERRA TALHADA – Proteína Animal Bovina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1.364</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30.526,32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20,76</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33.216,00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bovina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18,98</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15.089,10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10,01</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3.003,00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399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de charque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845</w:t>
            </w:r>
          </w:p>
        </w:tc>
        <w:tc>
          <w:tcPr>
            <w:tcW w:w="102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24,70</w:t>
            </w:r>
          </w:p>
        </w:tc>
        <w:tc>
          <w:tcPr>
            <w:tcW w:w="11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20.871,50</w:t>
            </w:r>
          </w:p>
        </w:tc>
      </w:tr>
      <w:tr>
        <w:trPr/>
        <w:tc>
          <w:tcPr>
            <w:tcW w:w="867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13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102.705,92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4"/>
          <w:szCs w:val="14"/>
        </w:rPr>
      </w:pPr>
      <w:r>
        <w:rPr>
          <w:rFonts w:ascii="Arial" w:hAnsi="Arial"/>
          <w:iCs/>
          <w:color w:val="00000A"/>
          <w:sz w:val="14"/>
          <w:szCs w:val="14"/>
        </w:rPr>
      </w:r>
    </w:p>
    <w:p>
      <w:pPr>
        <w:pStyle w:val="Normal"/>
        <w:spacing w:lineRule="auto" w:line="240" w:before="0" w:after="0"/>
        <w:jc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31: CAMPUS SERRA TALHADA – Proteína Animal Alves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2495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9,24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23.053,80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16.443,36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10,41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14.240,88</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53.738,04</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center"/>
        <w:rPr>
          <w:sz w:val="20"/>
          <w:szCs w:val="20"/>
        </w:rPr>
      </w:pPr>
      <w:r>
        <w:rPr>
          <w:sz w:val="20"/>
          <w:szCs w:val="20"/>
        </w:rPr>
      </w:r>
    </w:p>
    <w:p>
      <w:pPr>
        <w:pStyle w:val="Contedodatabela"/>
        <w:numPr>
          <w:ilvl w:val="0"/>
          <w:numId w:val="0"/>
        </w:numPr>
        <w:spacing w:lineRule="auto" w:line="240" w:before="0" w:after="0"/>
        <w:ind w:left="720" w:hanging="0"/>
        <w:jc w:val="left"/>
        <w:textAlignment w:val="center"/>
        <w:rPr>
          <w:rStyle w:val="Fontepargpadro"/>
          <w:sz w:val="20"/>
          <w:szCs w:val="20"/>
        </w:rPr>
      </w:pPr>
      <w:r>
        <w:rPr>
          <w:sz w:val="20"/>
          <w:szCs w:val="20"/>
        </w:rPr>
      </w:r>
    </w:p>
    <w:tbl>
      <w:tblPr>
        <w:tblW w:w="980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57"/>
        <w:gridCol w:w="4373"/>
        <w:gridCol w:w="1018"/>
        <w:gridCol w:w="900"/>
        <w:gridCol w:w="1083"/>
        <w:gridCol w:w="18"/>
        <w:gridCol w:w="105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32: CAMPUS SERRA TALHADA – Proteína Animal Suína, Caprina e Peixes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Carne caprina magra, LOMBO. Resfriada. Peças devidamente embaladas. Aspecto próprio da carne, não pegajosa, cor própria da carne, sem manchas esverdeadas ou pardas, cheiro próprio.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28,78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9.785,20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1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96.614,40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tipo 2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676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33,12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22.389,12</w:t>
            </w:r>
          </w:p>
        </w:tc>
      </w:tr>
      <w:tr>
        <w:trPr/>
        <w:tc>
          <w:tcPr>
            <w:tcW w:w="87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128.788,72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spacing w:lineRule="auto" w:line="240" w:before="0" w:after="0"/>
        <w:jc w:val="center"/>
        <w:textAlignment w:val="center"/>
        <w:rPr>
          <w:rStyle w:val="Fontepargpadro"/>
          <w:rFonts w:ascii="Arial" w:hAnsi="Arial"/>
          <w:b/>
          <w:b/>
          <w:bCs/>
          <w:sz w:val="20"/>
          <w:szCs w:val="20"/>
        </w:rPr>
      </w:pPr>
      <w:r>
        <w:rPr>
          <w:rFonts w:ascii="Arial" w:hAnsi="Arial"/>
          <w:b/>
          <w:bCs/>
          <w:sz w:val="20"/>
          <w:szCs w:val="20"/>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lineRule="auto" w:line="240" w:before="0" w:after="0"/>
              <w:jc w:val="center"/>
              <w:textAlignment w:val="center"/>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33: CAMPUS SERRA TALHADA – Frios, Derivados de Leite, Embutidos e Ovos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1 (Pote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15.720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50.146,80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tipo 2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22.448,16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5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158,96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tipo 1 (Balde com 15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15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07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109,50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766,50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27,53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2.395,11</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18,19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3.929,04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216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2.622,24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802,38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24,16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2.077,76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(Bandeja com 30 unidades)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Bandeja com 30 unidades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1.030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13,68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14.090,40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105.477,83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sz w:val="16"/>
          <w:szCs w:val="16"/>
        </w:rPr>
      </w:pPr>
      <w:r>
        <w:rPr>
          <w:rFonts w:ascii="Arial" w:hAnsi="Arial"/>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34: CAMPUS SERRA TALHADA – Cereais e Farináceos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(Caixa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7,26</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1.125,30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4,38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1.248,30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2285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7.060,65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419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Arroz VERMELHO, limpo, longo, grãos inteiros, com teor de umidade máxima de 15%; isento de sujidades e materiais estranhos; acondicionado em saco plástico, validade mínima de 06 meses a contar da data da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6,30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1.083,60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(Caixa com 170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170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694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2.880,10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rosca industrializada, 1ª qualidade. Rotulagem de acordo com a legislação. Data de validade mínima de 2 meses a contar da data de entrega do produto. Pacote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trigo tradicional, sem fermento, tipo 1. Enriquecida com ferro e ácido fólico. Deverá apresentar validade mínima de 3 meses a partir da data de entrega. Embalagem de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de milho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4020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6.874,20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para munguzá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1.124,12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7,13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1.397,48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DIET (Pacote com 130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Mistura para preparo de Canjiquinha / curau,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134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747,72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24.852,25</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b/>
          <w:b/>
          <w:bCs/>
          <w:sz w:val="16"/>
          <w:szCs w:val="16"/>
        </w:rPr>
      </w:pPr>
      <w:r>
        <w:rPr>
          <w:rFonts w:ascii="Arial" w:hAnsi="Arial"/>
          <w:b/>
          <w:bCs/>
          <w:sz w:val="16"/>
          <w:szCs w:val="16"/>
        </w:rPr>
      </w:r>
    </w:p>
    <w:p>
      <w:pPr>
        <w:pStyle w:val="Contedodatabela"/>
        <w:numPr>
          <w:ilvl w:val="0"/>
          <w:numId w:val="0"/>
        </w:numPr>
        <w:spacing w:lineRule="auto" w:line="240" w:before="0" w:after="0"/>
        <w:ind w:left="720" w:hanging="0"/>
        <w:jc w:val="left"/>
        <w:textAlignment w:val="center"/>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35: CAMPUS SERRA TALHADA – Gêneros Secos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1ª qualidade. Rotulagem de acordo com a legislação. Pacote 200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2,67</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4.127,82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17,70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3.079,80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429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cristal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CRISTAL branco de 1ª qualidade, acondicionado em embalagem transparente de 1 Kg, com todas as informações pertinentes ao produto, previsto na legislação vigente, com prazo de validade de 12 meses no momento da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2,59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4.004,14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demerara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174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783,00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moído (Pacote com 250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1060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5,48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5.808,80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(Caixa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Creme de leite, 1ªqualidade. Com S.I.F. Data de validade mínima de 3 meses a contar da data de entrega do produto. Rotulagem em conformidade à legislação. Caixa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512</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1.546,24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(Pacote com 2kg)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Ervilha em conserva, grãos inteiros, líquido translúcido, livre de impurezas. Validade mínima de 6 meses a partir da data de entrega. Pacote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1.494,57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(Embalagem com 395g)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Condensado, acondicionado em embalagem Tetra pack, 1ª qualidade. O produto deverá ter validade mínima de 6 meses a partir da data de entrega. Embalagem de 395g.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395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300,30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(Unidade com 200ml)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de coco. Rotulagem em conformidade à legislação vigente. Deverá apresentar validade mínima de 12 meses a partir da data de entrega à unidade requisitante. Embalagem de 200ml.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459,52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1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348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5,58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1.941,84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tipo 2 (Pacote com 200g)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3144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4,62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14.525,28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de soja (Garrafa com 900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Óleo vegetal comestível, de Soja, TIPO 1. Rotulagem de acordo com a legislação vigente. Deverá apresentar validade mínima de 04 meses a partir da data de entrega à unidade requisitante. Garrafa c/ 900ml.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900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350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1.554,00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439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de soja (Pacote com 400g)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400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4,67</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9.176,55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Queijo Parmesão Ralado, 1º qualidade. Rotulagem de acordo com a legislação vigente. Prazo de validade mínimo 04 meses a contar a partir da data de entrega. Pacote 50g.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288,35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em conserva (Lata com 250g)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Unidade250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7,21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18.133,15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ralado (Pacote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4,65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297,60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químico (Pote com 100g)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Fermento em pó químico. Aplicação em bolos. Rotulagem de acordo com a legislação. Pote 100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 100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190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741,00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(Unidade)</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24.813,30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(Pote com 35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Canela em pó, fina, nova, sem sujidades, com cheiro característico. Deverá apresentar validade mínima de 12 meses a partir da data de entrega à unidade requisitante. Rotulagem de acordo com a legislação. Potes com 35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Pote</w:t>
            </w:r>
          </w:p>
          <w:p>
            <w:pPr>
              <w:pStyle w:val="Contedodatabela"/>
              <w:jc w:val="center"/>
              <w:rPr/>
            </w:pPr>
            <w:r>
              <w:rPr>
                <w:b/>
                <w:bCs/>
                <w:sz w:val="14"/>
                <w:szCs w:val="14"/>
              </w:rPr>
              <w:t>35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343,20</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93.418,46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36: CAMPUS SERRA TALHADA – Leguminosas e Oleaginosas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Amendoim cru, ao natural, com cascas íntegras, sem partes amolecidas. Rotulagem de acordo com a legislação.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93</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9,05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841,65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específica. O produto deverá apresentar validade mínima de 06 meses a partir da data de entrega à unidade requisitante. Embalagem de 1kg.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1465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6.079,75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de corda / fradinho / macáçar, tipo 1, limpo. Industrializado. Rotulagem em conformidade à legislação vigente. Deverá apresentar validade mínima de 04 meses a partir da data de entrega. Embalagem com 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6,05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2.214,30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449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Feijão preto tipo 1, industrializado. Rotulagem em conformidade à legislação vigente. Deverá apresentar validade mínima de 04 meses a partir da data de entrega à unidade requisitante. Embalagem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365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6,14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2.241,10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tipo 1 (Unidade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16,01</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1.232,77</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12.609,57</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rPr>
          <w:rStyle w:val="Fontepargpadro"/>
          <w:rFonts w:ascii="Arial" w:hAnsi="Arial"/>
          <w:b/>
          <w:b/>
          <w:bCs/>
          <w:sz w:val="16"/>
          <w:szCs w:val="16"/>
        </w:rPr>
      </w:pPr>
      <w:r>
        <w:rPr>
          <w:rFonts w:ascii="Arial" w:hAnsi="Arial"/>
          <w:b/>
          <w:bCs/>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rPr>
                <w:sz w:val="20"/>
                <w:szCs w:val="20"/>
              </w:rPr>
            </w:pPr>
            <w:r>
              <w:rPr>
                <w:sz w:val="20"/>
                <w:szCs w:val="20"/>
              </w:rPr>
            </w:r>
          </w:p>
          <w:p>
            <w:pPr>
              <w:pStyle w:val="Contedodatabela"/>
              <w:numPr>
                <w:ilvl w:val="0"/>
                <w:numId w:val="0"/>
              </w:numPr>
              <w:spacing w:lineRule="auto" w:line="240" w:before="0" w:after="0"/>
              <w:ind w:left="720" w:hanging="0"/>
              <w:jc w:val="center"/>
              <w:textAlignment w:val="center"/>
              <w:rPr/>
            </w:pPr>
            <w:r>
              <w:rPr>
                <w:rStyle w:val="Fontepargpadro"/>
                <w:b/>
                <w:bCs/>
                <w:sz w:val="16"/>
                <w:szCs w:val="16"/>
              </w:rPr>
              <w:t>GRUPO 37: CAMPUS SERRA TALHADA – Massas Alimentícias, Macarrão e Biscoitos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1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doce maisena, apresentação retangular, sem cheiro. Rotulagem de acordo com a legislação. Validade mínima de 6 meses a partir da data de entrega.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80,75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1.211,25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2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salgado cream cracker. Rotulagem de acordo com a legislação. Validade mínima de 6 meses a partir da data de entrega.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before="0" w:after="0"/>
              <w:jc w:val="center"/>
              <w:rPr/>
            </w:pPr>
            <w:r>
              <w:rPr>
                <w:rFonts w:eastAsia="Times New Roman" w:cs="Tahoma"/>
                <w:b/>
                <w:bCs/>
                <w:color w:val="00000A"/>
                <w:sz w:val="14"/>
                <w:szCs w:val="14"/>
                <w:lang w:val="pt-BR" w:eastAsia="pt-BR" w:bidi="ar-SA"/>
              </w:rPr>
              <w:t>69,80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tipo 3 (Caixa com 20 pacotes)</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Biscoito Integral tipo cream Cracker , com validade de 2 anos a partir da data de entrega, livre de fungos, sem unidades quebradas , embalagem integra, de boa qualidade. Caixa c/ 20 pct de 400g.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Caixa c/ 20 pacotes</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85,95</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1.289,25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1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fino. tipo espaguete. SEM OVOS, de 1ª qualidade, íntegro. Rotulagem de acordo com a legislação vigente. Deverá apresentar validade mínima de 10 meses a partir da data de entrega à unidade requisitante.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3.963,96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2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556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1.968,24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tipo 3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Macarrão curto com ovos, tipo parafuso, submetido a processo de secagem, acondicionado em embalagens apropriadas. Rotulagem conforme legislação vigente. Prazo de validade mínimo 06 meses a contar a partir da data de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1.638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3,70</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Massa Sêmola (Pacote com 500g)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Massa de Sêmola para lasanha. Rotulagem de acordo com a legislação vigente. Deverá apresentar validade mínima de 6 meses a partir da data de entrega à unidade requisitante. Pacote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1.024</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5,93</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6.072,32</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21.612,62</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901"/>
        <w:gridCol w:w="1073"/>
        <w:gridCol w:w="7"/>
        <w:gridCol w:w="1065"/>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38: CAMPUS SERRA TALHADA – Condimentos, Temperos e Molhos</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Cúrcuma (Pacote com 50g)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3.607,74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459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Colorau (Pacote com 500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410</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5,38</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2.205,80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(Pacote com 30g)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30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6826</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2,04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13.925,04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(Pacote com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 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12,74</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1.337,70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(Pacote com 200 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200 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17,59</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2.251,52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Sal de cozinha, moído, branco, de 1ª qualidade, tratamento diferenciado: iodado. Rotulagem de acordo com a legislação vigente. Deverá conter validade mínima de 01 ano a partir da data da entrega à unidade requisitante. Pacote com 01 Kg.</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235</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0,82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192,70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(Garrafa com 500 ml)</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Garrafa 500 ml</w:t>
            </w:r>
          </w:p>
        </w:tc>
        <w:tc>
          <w:tcPr>
            <w:tcW w:w="9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628</w:t>
            </w:r>
          </w:p>
        </w:tc>
        <w:tc>
          <w:tcPr>
            <w:tcW w:w="1080"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6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2.524,56</w:t>
            </w:r>
          </w:p>
        </w:tc>
      </w:tr>
      <w:tr>
        <w:trPr/>
        <w:tc>
          <w:tcPr>
            <w:tcW w:w="873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2"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26.045,06</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numPr>
          <w:ilvl w:val="0"/>
          <w:numId w:val="0"/>
        </w:numPr>
        <w:spacing w:lineRule="auto" w:line="240" w:before="0" w:after="0"/>
        <w:ind w:left="720" w:hanging="0"/>
        <w:jc w:val="both"/>
        <w:textAlignment w:val="center"/>
        <w:rPr>
          <w:rStyle w:val="Fontepargpadro"/>
          <w:rFonts w:ascii="Arial" w:hAnsi="Arial"/>
          <w:b/>
          <w:b/>
          <w:bCs/>
          <w:iCs/>
          <w:color w:val="00000A"/>
          <w:sz w:val="16"/>
          <w:szCs w:val="16"/>
        </w:rPr>
      </w:pPr>
      <w:r>
        <w:rPr>
          <w:rFonts w:ascii="Arial" w:hAnsi="Arial"/>
          <w:b/>
          <w:bCs/>
          <w:iCs/>
          <w:color w:val="00000A"/>
          <w:sz w:val="16"/>
          <w:szCs w:val="16"/>
        </w:rPr>
      </w:r>
    </w:p>
    <w:tbl>
      <w:tblPr>
        <w:tblW w:w="9805"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57"/>
        <w:gridCol w:w="4373"/>
        <w:gridCol w:w="1018"/>
        <w:gridCol w:w="900"/>
        <w:gridCol w:w="1083"/>
        <w:gridCol w:w="18"/>
        <w:gridCol w:w="1055"/>
      </w:tblGrid>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numPr>
                <w:ilvl w:val="0"/>
                <w:numId w:val="0"/>
              </w:numPr>
              <w:spacing w:lineRule="auto" w:line="240" w:before="0" w:after="0"/>
              <w:ind w:left="720" w:hanging="0"/>
              <w:jc w:val="center"/>
              <w:textAlignment w:val="center"/>
              <w:rPr/>
            </w:pPr>
            <w:r>
              <w:rPr>
                <w:rStyle w:val="Fontepargpadro"/>
                <w:b/>
                <w:bCs/>
                <w:iCs/>
                <w:color w:val="00000A"/>
                <w:sz w:val="16"/>
                <w:szCs w:val="16"/>
              </w:rPr>
              <w:t>GRUPO 39: CAMPUS SERRA TALHADA – Hortifruti</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Abacaxi in natura (Ananas como sus), tamanho médio, com polpas firmes e intactas, coloração uniforme, grau de maturação madura.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880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3.634,40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Abóbora nova, firme, sem machucados, sem partes escurecidas ou amolecidas.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460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2,81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1.292,60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Abobrinha brasileira. Produtos sãos, limpos e de boa qualidade, sem defeitos, suficientemente desenvolvidos, com aspecto, aroma e sabor típicos da variedade e uniformidade no tamanho e na cor.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Alface crespa, fresca, tamanho e coloração uniformes, bem desenvolvida. sem material terroso, livre de resíduos de fertilizantes, parasitos e larvas, sem danos provocados pelo manuseio ou transporte.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1.024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2.478,08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469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Alho in natura, aspecto físico em cabeça, tamanho grande.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17,54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4.139,44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da terra.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932,28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Banana prata.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1.248,00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 inglesa in natura, 1ª qualidade, tamanho grande, lisa, sem brotos ou partes verdes.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1.597,44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Batata-doce roxa com casca firme, sem cortes, sem sinais de umidade e sem bolor.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640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2.163,20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Beterraba. Tamanho médio, produtos limpos, de boa qualidade, sem defeitos, suficientemente desenvolvidos com aspecto, aroma e sabor típicos da variedade e uniformidade no tamanho e na cor.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1.414,40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Brócolis. Tipo ramoso, in natura. Tamanho e coloração uniformes. Sem áreas amareladas, sem sujidades ou outros defeitos que possam alterar sua aparência ou qualidade.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13,28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2.709,12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Cebolinha verde, comum, limpa, tenra, com raiz, com coloração uniforme, com sabor e odor característico a cada variedade. Sem podridão, sem partes secas, murchas ou queimadas por sol ou frio. Bem desenvolvida.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6.218,17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Cebola in natura, uso culinário, tipo branca, firme, sem manchas ou partes amolecidas.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3,84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906,24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Cenoura, in natura, alaranjada, sem material terroso, livre de resíduos de fertilizantes, parasitos e larvas, sem danos provocados pelo manuseio ou transporte, sem brotos, grau de maturação madura.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1.401,92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479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Coentro: Folhas verdes, fresca, sem traços de descoloração, íntegros e firmes, isentos de sujidades ou corpo estranhos.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2.947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1,79</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5.275,13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Chuchu: 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3,03</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621,15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flor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Couve-flor. Fresca, tamanho médio a grande, cabeças firmes e sem áreas escuras, com maturação uniforme e coloração amarelada, sem manchas de fungos.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9,09</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1.863,45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(Molhos)</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Couve folha, in natura, sem material terroso, livre de resíduos de fertilizantes, parasitos e larvas, sem danos provocados pelo manuseio ou transporte. Unidade: molho</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Unidade</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2,15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550,40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416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3,50</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1.456,00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Laranja pêra “in natura” .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800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2,98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2.384,00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Limão taiti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320</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4,16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1.331,20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Maçã nacional, selecionada, in natura, tamanho médio.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6,28</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2.499,44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Mamão formosa, íntegro, sem machucados, sem furos, sem partes amolecidas, não muito maduros.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879,58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com casca, in natura, sem injurias, doenças, sem escurecimento. Raiz na cor marrom e massa branca.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796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3,25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2.587,00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489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Mandioca, sem casca, resfriada, sem injurias, doenças, sem escurecimento. Embalada a vácuo. Rotulagem em conformidade à legislação vigente.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786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5,07</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3.985,02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Manga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rStyle w:val="Nfaseforte"/>
                <w:b w:val="false"/>
                <w:bCs w:val="false"/>
                <w:sz w:val="14"/>
                <w:szCs w:val="14"/>
              </w:rPr>
              <w:t xml:space="preserve">Manga </w:t>
            </w:r>
            <w:r>
              <w:rPr>
                <w:rStyle w:val="Nfaseforte"/>
                <w:sz w:val="14"/>
                <w:szCs w:val="14"/>
              </w:rPr>
              <w:t xml:space="preserve"> </w:t>
            </w:r>
            <w:r>
              <w:rPr>
                <w:rStyle w:val="Fontepargpadro"/>
                <w:sz w:val="14"/>
                <w:szCs w:val="14"/>
              </w:rPr>
              <w:t>Limpa, madura, tenra e sem fiapos. Casca lisa e brilhante, sem manchas, sem podridão, sem deformações. Bem desenvolvida com peso igual ou superior a 400g cada.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1.237,78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Melancia, in natura, sem machucados, íntegra, grande de 1ª qualidade, tamanho e coloração uniforme.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573,12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Melão "amarelo". In natura.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398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2,44</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971,12</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Milho verde em espigas com palhas íntegras, sem partes amolecidas ou estragadas.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318</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2,21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702,78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Pepino, in natura, coloração verde, firme, sem injúrias.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3,36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688,80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Pimentão verde, in natura, novo, sem amassados, sem manchas ou furos.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236</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4,26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1.005,36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Branco, in natura, 1ª qualidade, tamanho grande, sem manchas ou partes murchas.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932,75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Repolho Roxo, in natura, 1ª qualidade, tamanho grande, sem manchas ou partes murchas.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205</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7,06</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1.447,30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Tomate vermelho paulista, graúdo, in natura, 1ª qualidade, sem machucados, sem furos, firmes. Maduro.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424</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4,02</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1.704,48</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499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(Kg)</w:t>
            </w:r>
          </w:p>
        </w:tc>
        <w:tc>
          <w:tcPr>
            <w:tcW w:w="43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Vagem curta verde, tamanho e coloração uniformes, livre de material terroso, sem danos causados pelo manuseio ou transporte. Unidade de fornecimento: Quilograma.</w:t>
            </w:r>
          </w:p>
        </w:tc>
        <w:tc>
          <w:tcPr>
            <w:tcW w:w="10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9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w:t>
            </w:r>
          </w:p>
        </w:tc>
        <w:tc>
          <w:tcPr>
            <w:tcW w:w="108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8,11</w:t>
            </w:r>
          </w:p>
        </w:tc>
        <w:tc>
          <w:tcPr>
            <w:tcW w:w="1073"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624,47</w:t>
            </w:r>
          </w:p>
        </w:tc>
      </w:tr>
      <w:tr>
        <w:trPr>
          <w:trHeight w:val="435" w:hRule="atLeast"/>
        </w:trPr>
        <w:tc>
          <w:tcPr>
            <w:tcW w:w="874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5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64.191,62</w:t>
            </w:r>
          </w:p>
        </w:tc>
      </w:tr>
      <w:tr>
        <w:trPr/>
        <w:tc>
          <w:tcPr>
            <w:tcW w:w="9804"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rFonts w:eastAsia="Times New Roman" w:cs="Tahoma"/>
                <w:b/>
                <w:bCs/>
                <w:color w:val="00000A"/>
                <w:sz w:val="14"/>
                <w:szCs w:val="14"/>
                <w:lang w:val="pt-BR" w:eastAsia="pt-BR" w:bidi="ar-SA"/>
              </w:rPr>
              <w:t>Local de Entrega: (Sede do Campus Serra Talhada)</w:t>
            </w:r>
          </w:p>
          <w:p>
            <w:pPr>
              <w:pStyle w:val="Rodap"/>
              <w:spacing w:lineRule="auto" w:line="240" w:before="0" w:after="0"/>
              <w:jc w:val="left"/>
              <w:rPr/>
            </w:pPr>
            <w:r>
              <w:rPr>
                <w:rStyle w:val="Fontepargpadro"/>
                <w:rFonts w:eastAsia="Times New Roman" w:cs="Tahoma"/>
                <w:b/>
                <w:bCs/>
                <w:iCs/>
                <w:color w:val="00000A"/>
                <w:sz w:val="14"/>
                <w:szCs w:val="14"/>
                <w:lang w:val="pt-BR" w:eastAsia="pt-BR" w:bidi="ar-SA"/>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68"/>
        <w:gridCol w:w="1032"/>
        <w:gridCol w:w="826"/>
        <w:gridCol w:w="1139"/>
        <w:gridCol w:w="1081"/>
      </w:tblGrid>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40: CAMPUS SERRA TALHADA – Polpas de Fruta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1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3092</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11,18</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34.568,56</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2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10,40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16.078,40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3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1546</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11,10</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17.160,60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503</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4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13,01</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10.056,73</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504</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5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11,65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9.005,45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505</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6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15,73</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12.159,29</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506</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tipo 7 (Kg)</w:t>
            </w:r>
          </w:p>
        </w:tc>
        <w:tc>
          <w:tcPr>
            <w:tcW w:w="436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3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8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12,85</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9.933,05</w:t>
            </w:r>
          </w:p>
        </w:tc>
      </w:tr>
      <w:tr>
        <w:trPr/>
        <w:tc>
          <w:tcPr>
            <w:tcW w:w="8728"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8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108.962,08</w:t>
            </w:r>
          </w:p>
        </w:tc>
      </w:tr>
      <w:tr>
        <w:trPr/>
        <w:tc>
          <w:tcPr>
            <w:tcW w:w="9809"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bl>
    <w:p>
      <w:pPr>
        <w:pStyle w:val="Contedodatabela"/>
        <w:spacing w:lineRule="auto" w:line="240" w:before="0" w:after="0"/>
        <w:rPr>
          <w:rStyle w:val="Fontepargpadro"/>
          <w:rFonts w:ascii="Arial" w:hAnsi="Arial"/>
          <w:iCs/>
          <w:color w:val="00000A"/>
          <w:sz w:val="16"/>
          <w:szCs w:val="16"/>
        </w:rPr>
      </w:pPr>
      <w:r>
        <w:rPr>
          <w:rFonts w:ascii="Arial" w:hAnsi="Arial"/>
          <w:iCs/>
          <w:color w:val="00000A"/>
          <w:sz w:val="16"/>
          <w:szCs w:val="16"/>
        </w:rPr>
      </w:r>
    </w:p>
    <w:p>
      <w:pPr>
        <w:pStyle w:val="Normal"/>
        <w:spacing w:lineRule="auto" w:line="240" w:before="0" w:after="0"/>
        <w:jc w:val="both"/>
        <w:rPr>
          <w:rStyle w:val="Fontepargpadro"/>
          <w:rFonts w:ascii="Arial" w:hAnsi="Arial"/>
          <w:b/>
          <w:b/>
          <w:bCs/>
          <w:iCs/>
          <w:color w:val="00000A"/>
          <w:sz w:val="16"/>
          <w:szCs w:val="16"/>
        </w:rPr>
      </w:pPr>
      <w:r>
        <w:rPr>
          <w:rFonts w:ascii="Arial" w:hAnsi="Arial"/>
          <w:b/>
          <w:bCs/>
          <w:iCs/>
          <w:color w:val="00000A"/>
          <w:sz w:val="16"/>
          <w:szCs w:val="16"/>
        </w:rPr>
      </w:r>
    </w:p>
    <w:tbl>
      <w:tblPr>
        <w:tblW w:w="9810" w:type="dxa"/>
        <w:jc w:val="left"/>
        <w:tblInd w:w="-18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00"/>
        <w:gridCol w:w="963"/>
        <w:gridCol w:w="4310"/>
        <w:gridCol w:w="1080"/>
        <w:gridCol w:w="794"/>
        <w:gridCol w:w="1184"/>
        <w:gridCol w:w="1"/>
        <w:gridCol w:w="1077"/>
      </w:tblGrid>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Normal"/>
              <w:spacing w:lineRule="auto" w:line="240" w:before="0" w:after="0"/>
              <w:jc w:val="both"/>
              <w:rPr>
                <w:rFonts w:ascii="Arial" w:hAnsi="Arial"/>
                <w:iCs/>
                <w:color w:val="00000A"/>
                <w:sz w:val="16"/>
                <w:szCs w:val="16"/>
              </w:rPr>
            </w:pPr>
            <w:r>
              <w:rPr>
                <w:rFonts w:ascii="Arial" w:hAnsi="Arial"/>
                <w:iCs/>
                <w:color w:val="00000A"/>
                <w:sz w:val="16"/>
                <w:szCs w:val="16"/>
              </w:rPr>
            </w:r>
          </w:p>
          <w:p>
            <w:pPr>
              <w:pStyle w:val="Contedodatabela"/>
              <w:spacing w:lineRule="auto" w:line="240" w:before="0" w:after="0"/>
              <w:jc w:val="center"/>
              <w:textAlignment w:val="center"/>
              <w:rPr/>
            </w:pPr>
            <w:r>
              <w:rPr>
                <w:rStyle w:val="Fontepargpadro"/>
                <w:b/>
                <w:bCs/>
                <w:iCs/>
                <w:color w:val="00000A"/>
                <w:sz w:val="16"/>
                <w:szCs w:val="16"/>
              </w:rPr>
              <w:t>GRUPO 41: CAMPUS SERRA TALHADA – Padaria</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Nº Item</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Item</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Descrição</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Unidade</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Qtd.</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 Unitário</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before="0" w:after="0"/>
              <w:jc w:val="center"/>
              <w:rPr/>
            </w:pPr>
            <w:r>
              <w:rPr>
                <w:b/>
                <w:bCs/>
                <w:sz w:val="14"/>
                <w:szCs w:val="14"/>
              </w:rPr>
              <w:t>Valor</w:t>
            </w:r>
          </w:p>
          <w:p>
            <w:pPr>
              <w:pStyle w:val="Contedodatabela"/>
              <w:spacing w:before="0" w:after="0"/>
              <w:jc w:val="center"/>
              <w:rPr/>
            </w:pPr>
            <w:r>
              <w:rPr>
                <w:b/>
                <w:bCs/>
                <w:sz w:val="14"/>
                <w:szCs w:val="14"/>
              </w:rPr>
              <w:t>Total</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507</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1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em formas individuas ,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17,25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44.160,00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508</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tipo 2 (Pacote com 10 unidades)</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Bacia: Bolo de trigo INTEGRAL, em forma individuas, sem recheio nem coberturas, pesando entre 180g-220g cada. Empacotado em embalagem plástica contendo 10 unidades. Deve conter em sua embalagem a data de fabricação e de validade.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2"/>
                <w:szCs w:val="12"/>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2560</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30,60</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78.336,00</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509</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Torradas simples (Pacote com 500 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Torrada simples, de pão dormido Tipo Francês ou Tabica. Embalagem plástica de 500g, contendo data de fabricação e validade. Validade mínima de 10 dias a contar da data de entrega.</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Pacote 500 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152</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7,17</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1.089,84</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sz w:val="14"/>
                <w:szCs w:val="14"/>
              </w:rPr>
              <w:t>510</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sz w:val="14"/>
                <w:szCs w:val="14"/>
              </w:rPr>
              <w:t>Pão de cachorro quente (Pacote)</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both"/>
              <w:rPr/>
            </w:pPr>
            <w:r>
              <w:rPr>
                <w:sz w:val="14"/>
                <w:szCs w:val="14"/>
              </w:rPr>
              <w:t>Pão para cachorro quente.(Deverá apresentar validade mínima de 15 (quinze) dias a partir da data de entrega). Embalagem plástica contendo 10 unidades cada pacote.</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b/>
                <w:bCs/>
                <w:sz w:val="14"/>
                <w:szCs w:val="14"/>
              </w:rPr>
              <w:t>Pacote c/ 10 unidades</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b/>
                <w:bCs/>
                <w:sz w:val="14"/>
                <w:szCs w:val="14"/>
              </w:rPr>
              <w:t xml:space="preserve"> </w:t>
            </w:r>
            <w:r>
              <w:rPr>
                <w:b/>
                <w:bCs/>
                <w:sz w:val="14"/>
                <w:szCs w:val="14"/>
              </w:rPr>
              <w:t xml:space="preserve">1051 </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rFonts w:eastAsia="Times New Roman" w:cs="Tahoma"/>
                <w:b/>
                <w:bCs/>
                <w:color w:val="00000A"/>
                <w:sz w:val="14"/>
                <w:szCs w:val="14"/>
                <w:lang w:val="pt-BR" w:eastAsia="pt-BR" w:bidi="ar-SA"/>
              </w:rPr>
              <w:t>4,55</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Contedodatabela"/>
              <w:jc w:val="center"/>
              <w:rPr/>
            </w:pPr>
            <w:r>
              <w:rPr>
                <w:rFonts w:eastAsia="Times New Roman" w:cs="Tahoma"/>
                <w:b/>
                <w:bCs/>
                <w:color w:val="00000A"/>
                <w:sz w:val="14"/>
                <w:szCs w:val="14"/>
                <w:lang w:val="pt-BR" w:eastAsia="pt-BR" w:bidi="ar-SA"/>
              </w:rPr>
              <w:t>4.782,05</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511</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milho, novo,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19,19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14.833,87</w:t>
            </w:r>
          </w:p>
        </w:tc>
      </w:tr>
      <w:tr>
        <w:trPr/>
        <w:tc>
          <w:tcPr>
            <w:tcW w:w="4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sz w:val="14"/>
                <w:szCs w:val="14"/>
              </w:rPr>
              <w:t>512</w:t>
            </w:r>
          </w:p>
        </w:tc>
        <w:tc>
          <w:tcPr>
            <w:tcW w:w="9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(Kg)</w:t>
            </w:r>
          </w:p>
        </w:tc>
        <w:tc>
          <w:tcPr>
            <w:tcW w:w="43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both"/>
              <w:rPr/>
            </w:pPr>
            <w:r>
              <w:rPr>
                <w:sz w:val="14"/>
                <w:szCs w:val="14"/>
              </w:rPr>
              <w:t>Bolo de cenoura, novo, Sem cobertura, contendo data de validade e de fabricação. Embalado individualmente com plástico filme. A unidade deve variar de 2 a 4 kg.</w:t>
            </w:r>
          </w:p>
        </w:tc>
        <w:tc>
          <w:tcPr>
            <w:tcW w:w="10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Kg</w:t>
            </w:r>
          </w:p>
        </w:tc>
        <w:tc>
          <w:tcPr>
            <w:tcW w:w="7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4"/>
                <w:szCs w:val="14"/>
              </w:rPr>
              <w:t>773</w:t>
            </w:r>
          </w:p>
        </w:tc>
        <w:tc>
          <w:tcPr>
            <w:tcW w:w="118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18,89</w:t>
            </w:r>
          </w:p>
        </w:tc>
        <w:tc>
          <w:tcPr>
            <w:tcW w:w="107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rFonts w:eastAsia="Times New Roman" w:cs="Tahoma"/>
                <w:b/>
                <w:bCs/>
                <w:color w:val="00000A"/>
                <w:sz w:val="14"/>
                <w:szCs w:val="14"/>
                <w:lang w:val="pt-BR" w:eastAsia="pt-BR" w:bidi="ar-SA"/>
              </w:rPr>
              <w:t>14.601,97</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20"/>
                <w:szCs w:val="20"/>
              </w:rPr>
              <w:t xml:space="preserve">Total em R$ </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b/>
                <w:bCs/>
                <w:sz w:val="14"/>
                <w:szCs w:val="14"/>
              </w:rPr>
              <w:t>157.803,73</w:t>
            </w:r>
          </w:p>
        </w:tc>
      </w:tr>
      <w:tr>
        <w:trPr/>
        <w:tc>
          <w:tcPr>
            <w:tcW w:w="9809"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spacing w:lineRule="auto" w:line="240" w:before="0" w:after="0"/>
              <w:rPr/>
            </w:pPr>
            <w:r>
              <w:rPr>
                <w:rStyle w:val="Fontepargpadro"/>
                <w:b/>
                <w:bCs/>
                <w:sz w:val="14"/>
                <w:szCs w:val="14"/>
              </w:rPr>
              <w:t xml:space="preserve">Local de Entrega: </w:t>
            </w:r>
            <w:r>
              <w:rPr>
                <w:rStyle w:val="Fontepargpadro"/>
                <w:sz w:val="14"/>
                <w:szCs w:val="14"/>
              </w:rPr>
              <w:t>(Sede do Campus Serra Talhada)</w:t>
            </w:r>
          </w:p>
          <w:p>
            <w:pPr>
              <w:pStyle w:val="Rodap"/>
              <w:spacing w:lineRule="auto" w:line="240" w:before="0" w:after="0"/>
              <w:jc w:val="left"/>
              <w:rPr/>
            </w:pPr>
            <w:r>
              <w:rPr>
                <w:rStyle w:val="Fontepargpadro"/>
                <w:rFonts w:cs="Arial"/>
                <w:b/>
                <w:bCs/>
                <w:iCs/>
                <w:color w:val="00000A"/>
                <w:sz w:val="14"/>
                <w:szCs w:val="14"/>
              </w:rPr>
              <w:t>PE 320, Km 126, Fazenda Estreito, Zona Rural, S/N  CEP: 56.900-000 – Serra Talhada-PE</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Total estimado para os grupos 30 a 41</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r>
              <w:rPr>
                <w:b/>
                <w:bCs/>
                <w:sz w:val="16"/>
                <w:szCs w:val="16"/>
              </w:rPr>
              <w:t>900.205,90</w:t>
            </w:r>
          </w:p>
        </w:tc>
      </w:tr>
      <w:tr>
        <w:trPr/>
        <w:tc>
          <w:tcPr>
            <w:tcW w:w="8731"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2" w:type="dxa"/>
            </w:tcMar>
            <w:vAlign w:val="center"/>
          </w:tcPr>
          <w:p>
            <w:pPr>
              <w:pStyle w:val="Contedodatabela"/>
              <w:jc w:val="center"/>
              <w:rPr/>
            </w:pPr>
            <w:r>
              <w:rPr>
                <w:b/>
                <w:bCs/>
                <w:sz w:val="16"/>
                <w:szCs w:val="16"/>
              </w:rPr>
              <w:t>Valor Total Estimado (Grupos 01 a 41: 512 itens)</w:t>
            </w:r>
          </w:p>
        </w:tc>
        <w:tc>
          <w:tcPr>
            <w:tcW w:w="107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2" w:type="dxa"/>
            </w:tcMar>
            <w:vAlign w:val="center"/>
          </w:tcPr>
          <w:p>
            <w:pPr>
              <w:pStyle w:val="Contedodatabela"/>
              <w:jc w:val="center"/>
              <w:rPr/>
            </w:pPr>
            <w:bookmarkStart w:id="6" w:name="__DdeLink__15863_1798557045"/>
            <w:r>
              <w:rPr>
                <w:b/>
                <w:bCs/>
                <w:sz w:val="16"/>
                <w:szCs w:val="16"/>
              </w:rPr>
              <w:t>4.728.146</w:t>
            </w:r>
            <w:bookmarkEnd w:id="6"/>
            <w:r>
              <w:rPr>
                <w:b/>
                <w:bCs/>
                <w:sz w:val="16"/>
                <w:szCs w:val="16"/>
              </w:rPr>
              <w:t>,69</w:t>
            </w:r>
          </w:p>
        </w:tc>
      </w:tr>
    </w:tbl>
    <w:p>
      <w:pPr>
        <w:pStyle w:val="Contedodatabela"/>
        <w:spacing w:lineRule="auto" w:line="240" w:before="0" w:after="0"/>
        <w:rPr>
          <w:rStyle w:val="Fontepargpadro"/>
          <w:sz w:val="14"/>
          <w:szCs w:val="14"/>
        </w:rPr>
      </w:pPr>
      <w:r>
        <w:rPr>
          <w:sz w:val="14"/>
          <w:szCs w:val="14"/>
        </w:rPr>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1.2 Justificativa para o agrupamento de itens: </w:t>
      </w:r>
      <w:r>
        <w:rPr>
          <w:rFonts w:eastAsia="Times New Roman" w:cs="Times New Roman" w:ascii="Times New Roman" w:hAnsi="Times New Roman"/>
          <w:b w:val="false"/>
          <w:bCs w:val="false"/>
          <w:i w:val="false"/>
          <w:iCs w:val="false"/>
          <w:color w:val="000000"/>
          <w:sz w:val="22"/>
          <w:szCs w:val="22"/>
          <w:lang w:val="pt-BR" w:eastAsia="pt-BR" w:bidi="ar-SA"/>
        </w:rPr>
        <w:t>Trata-se de aquisição de gêneros Alimentícios para atender as demandas das Unidades do IF Sertão Pernambucano. Optou-se por realizar licitação em grupo pelo fato de existirem itens debaixo valor no mercado, posto que no caso dessa licitação realizada por item existiria o risco de empresas licitantes vencerem um ou alguns itens de baixo valor não trazendo nenhuma vantagem para sua comercialização. Outrossim, de acordo com o retrospecto dos pregões 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agrupados que o integrarão, guardam compatibilidade entre si, observando-se, inclusive as regras de mercado para a comercialização dos produtos, de modo a manter a competitividade necessária à disputa.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 IV da Constituição. Ocorre, porém, que não visualizamos qualquer prejuízo na competitividade, posto que são itens encontráveis facilmente no mercado e sobre os quais procedeu-se a divisão de lotes/grupos pertinentes classes de itens. Destarte, o agrupamento não compromete a competitividade.</w:t>
      </w:r>
    </w:p>
    <w:p>
      <w:pPr>
        <w:pStyle w:val="Normal"/>
        <w:widowControl/>
        <w:tabs>
          <w:tab w:val="left" w:pos="1422" w:leader="none"/>
          <w:tab w:val="left" w:pos="1643" w:leader="none"/>
        </w:tabs>
        <w:bidi w:val="0"/>
        <w:spacing w:lineRule="auto" w:line="276" w:before="120" w:after="120"/>
        <w:ind w:left="159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p>
    <w:p>
      <w:pPr>
        <w:pStyle w:val="Normal"/>
        <w:numPr>
          <w:ilvl w:val="0"/>
          <w:numId w:val="0"/>
        </w:numPr>
        <w:spacing w:lineRule="auto" w:line="276" w:before="0" w:after="120"/>
        <w:ind w:left="36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 JUSTIFICATIVA E OBJETIVO DA CONTRATAÇÃO</w:t>
      </w:r>
    </w:p>
    <w:p>
      <w:pPr>
        <w:pStyle w:val="Textbody"/>
        <w:spacing w:lineRule="auto" w:line="276" w:before="0" w:after="120"/>
        <w:ind w:left="360" w:right="0" w:hanging="0"/>
        <w:jc w:val="both"/>
        <w:rPr/>
      </w:pPr>
      <w:r>
        <w:rPr>
          <w:rStyle w:val="Nfaseforte"/>
          <w:rFonts w:eastAsia="Times New Roman" w:cs="Times New Roman" w:ascii="Times New Roman" w:hAnsi="Times New Roman"/>
          <w:b w:val="false"/>
          <w:bCs w:val="false"/>
          <w:i w:val="false"/>
          <w:iCs w:val="false"/>
          <w:color w:val="000000"/>
          <w:sz w:val="22"/>
          <w:szCs w:val="22"/>
          <w:lang w:val="pt-BR" w:eastAsia="pt-BR" w:bidi="ar-SA"/>
        </w:rPr>
        <w:t>Por primeiro, cabe informar que a aquisição em tela visa tão somente o interesse público, estando desvinculada de qualquer festividade, evento comemorativo, lanche, brinde ou refeição para servidores incompatível com as finalidades institucionais do IF Sertão-PE.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2.1 Campus Petrolina: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aquisição de gêneros visa suprir as necessidades alimentares dos discentes durante o período letivo com qualidade e quantidade devidamente balizadas nos aspectos que atendam cumulativamente o PNAE, a OMS os órgãos de vigilância sanitária e sobretudo as limitações orçamentárias. Não obstante, o costume e a urbanidade em servir café predomina nos ambientes administrativos e de certo modo confere uma receptividade muito humana aos visitantes que procuram a administração pra assuntos diversos.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2.2 Reitoria: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itens solicitados servirão de suporte para o desenvolvimento das atividades por parte dos servidores, na promoção de pequenas reuniões e para um bom acolhimentos do público interno e externo da Instituição. Trata-se de uma iniciativa de promover o bem-estar de todos que fazem a instituição.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2.3 Campus Ouricuri:</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Tendo em vista a necessidade de aquisição de gêneros alimentícios destinados para atendimento da demanda da Coordenação de Agroindústria no tocante a uma das fases essenciais no processo de aprendizagem, ou seja, as aulas práticas. O restante da demanda destina-se para atendimento das necessidades gerais do campus, no tocante ao setor da copa.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2.4 Campus Petrolina Zona Rural:</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materiais solicitados pelo Campus Petrolina Zona Rural, visam atender as necessidades institucionais de diversos setores em atendimento a comunidade acadêmica. A unidade de alimentação e nutrição é o maior demandante porque atende diariamente as refeições de todos os servidores, alunos, terceirizados. Os materiais são extremamente importantes e essenciais para o atendimento institucional.</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2.5 Campus Floresta: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Os gêneros serão usados para o preparo de café a ser consumido no dia a dia do Campus, pelos servidores, assim como em eventos de modo geral promovidos para a comunidade interna e externa.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2.6 Campus Serra Talhada: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A demanda atenderá a demanda do refeitório em sua implantação com previsão em 2019.</w:t>
        <w:br/>
        <w:t>O intuito é fornecer almoço para os alunos do curso técnico em nível que ficarem nos dias de aulas em 02 turno, lanche para os alunos subsequente e superior e jantar/lanche para o PROEJA.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2.7 Campus Santa Maria da Boa Vista: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Justifica-se em razão do atendimento aos servidores, eventos e reuniões em que haja necessidade de café e açúcar.</w:t>
      </w:r>
    </w:p>
    <w:p>
      <w:pPr>
        <w:pStyle w:val="Normal"/>
        <w:numPr>
          <w:ilvl w:val="0"/>
          <w:numId w:val="0"/>
        </w:numPr>
        <w:spacing w:lineRule="auto" w:line="276" w:before="120" w:after="120"/>
        <w:ind w:left="1566"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2.8 Campus Salgueiro: </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O Campus Salgueiro do IF Sertão Pernambucano tem como atribuição dentre</w:t>
        <w:br/>
        <w:t>outras, propiciar a atenção adequada às suas coordenações, de maneira que as</w:t>
        <w:br/>
        <w:t>mesmas desempenhem suas funções administrativas ou operacionais de forma a</w:t>
        <w:br/>
        <w:t>atender o princípio da eficiência e qualidade. Para atendimento as demandas da</w:t>
        <w:br/>
        <w:t>Coordenação de Alimentos e às necessidades da Copa, fez-se necessário o</w:t>
        <w:br/>
        <w:t>levantamento das demandas com levantamento do consumo médio e a referida previsão e a quantidade a ser adquirida foram feitos com base nas planilhas de</w:t>
        <w:br/>
        <w:t xml:space="preserve">demandas apresentadas através de Memorandos inseridos no sistema SICABS. </w:t>
        <w:b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3. CLASSIFICAÇÃO DOS BENS COMUNS</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3.1  Os bens a serem adquiridos enquadram-se na classificação de bens comuns, nos termos da Lei nº 10.520, de 2002, do Decreto nº 3.555, de 2000, e do art. 9º, I, Decreto 5.450, de 2005.</w:t>
      </w:r>
    </w:p>
    <w:p>
      <w:pPr>
        <w:pStyle w:val="Normal"/>
        <w:numPr>
          <w:ilvl w:val="0"/>
          <w:numId w:val="0"/>
        </w:numPr>
        <w:spacing w:lineRule="auto" w:line="276" w:before="120" w:after="120"/>
        <w:ind w:left="36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3.2 Será utilizado o Sistema de Registro de Preços, uma vez que a compra se dará de forma parcelada, durante a vigência da ata, ademais, a aquisição se dará por mais de um órgão, logo, atendendo às hipóteses do Decreto nº 7.892/2013.</w:t>
      </w:r>
    </w:p>
    <w:p>
      <w:pPr>
        <w:pStyle w:val="Normal"/>
        <w:spacing w:lineRule="auto" w:line="276" w:before="120" w:after="12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4. ENTREGA E CRITÉRIOS DE ACEITAÇÃO DO OBJETO</w:t>
      </w:r>
    </w:p>
    <w:p>
      <w:pPr>
        <w:pStyle w:val="Normal"/>
        <w:numPr>
          <w:ilvl w:val="0"/>
          <w:numId w:val="0"/>
        </w:numPr>
        <w:spacing w:lineRule="auto" w:line="276" w:before="120" w:after="120"/>
        <w:ind w:left="1141"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4.1 O prazo de entrega dos bens é de 08 (OITO) DIAS CORRIDOS, contados da ENTREGA DO TERMO DE SOLICITAÇÃO, em REMESSA PARCELADA, nos seguintes endereços:</w:t>
      </w:r>
    </w:p>
    <w:p>
      <w:pPr>
        <w:pStyle w:val="Normal"/>
        <w:spacing w:lineRule="auto" w:line="276" w:before="120" w:after="120"/>
        <w:ind w:left="1142"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 xml:space="preserve">4.1.1. </w:t>
      </w:r>
      <w:r>
        <w:rPr>
          <w:rStyle w:val="Fontepargpadro1"/>
          <w:rFonts w:eastAsia="Times New Roman" w:cs="Times New Roman" w:ascii="Times New Roman" w:hAnsi="Times New Roman"/>
          <w:b/>
          <w:bCs/>
          <w:i w:val="false"/>
          <w:iCs w:val="false"/>
          <w:color w:val="000000"/>
          <w:sz w:val="22"/>
          <w:szCs w:val="22"/>
          <w:lang w:val="pt-BR" w:eastAsia="pt-BR" w:bidi="ar-SA"/>
        </w:rPr>
        <w:t>Instituto Federal de Educação, Ciência e Tecnologia Sertão Pernambucano, Campus Petrolina, Rua Maria Luzia de Araújo Gomes Cabral, SN, Bairro João de Deus, CEP 56316-686, Petrolina-PE. Telefone: (87) 2101-4300</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 – A</w:t>
      </w:r>
      <w:r>
        <w:rPr>
          <w:rFonts w:eastAsia="Times New Roman" w:cs="Times New Roman" w:ascii="Times New Roman" w:hAnsi="Times New Roman"/>
          <w:b w:val="false"/>
          <w:bCs w:val="false"/>
          <w:i w:val="false"/>
          <w:iCs w:val="false"/>
          <w:color w:val="000000"/>
          <w:sz w:val="22"/>
          <w:szCs w:val="22"/>
          <w:lang w:val="pt-BR" w:eastAsia="pt-BR" w:bidi="ar-SA"/>
        </w:rPr>
        <w:t>penas o</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s itens que se referem aos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campi Petrolina, Santa Maria, Ouricuri, Salgueiro e Floresta. </w:t>
      </w:r>
    </w:p>
    <w:p>
      <w:pPr>
        <w:pStyle w:val="Normal"/>
        <w:spacing w:lineRule="auto" w:line="276" w:before="120" w:after="120"/>
        <w:ind w:left="1142"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4.1.2.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Campus Petrolina Zona Rural, Rodovia BR 235, Km 22, Projeto Senador Nilo Coelho N4, Petrolina-PE; Telefone: (87) 2101-8050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Apenas os itens que se referem ao</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Campus Petrolina Zona Rural</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4.1.3.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Reitoria, Rua Aristarco Lopes, 240, Centro, Petrolina-PE; Telefone: (87) 2101-2350 –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 xml:space="preserve"> Reitoria.</w:t>
      </w:r>
    </w:p>
    <w:p>
      <w:pPr>
        <w:pStyle w:val="Normal"/>
        <w:widowControl/>
        <w:tabs>
          <w:tab w:val="left" w:pos="1135" w:leader="none"/>
        </w:tabs>
        <w:overflowPunct w:val="false"/>
        <w:bidi w:val="0"/>
        <w:spacing w:lineRule="auto" w:line="276" w:before="120" w:after="120"/>
        <w:ind w:left="1134" w:right="0" w:hanging="0"/>
        <w:jc w:val="both"/>
        <w:rPr/>
      </w:pPr>
      <w:r>
        <w:rPr>
          <w:rStyle w:val="Fontepargpadro1"/>
          <w:rFonts w:eastAsia="Times New Roman" w:cs="Times New Roman" w:ascii="Times New Roman" w:hAnsi="Times New Roman"/>
          <w:b w:val="false"/>
          <w:bCs w:val="false"/>
          <w:i w:val="false"/>
          <w:iCs w:val="false"/>
          <w:color w:val="000000"/>
          <w:sz w:val="22"/>
          <w:szCs w:val="22"/>
          <w:lang w:val="pt-BR" w:eastAsia="pt-BR" w:bidi="ar-SA"/>
        </w:rPr>
        <w:t xml:space="preserve">4.14. </w:t>
      </w:r>
      <w:r>
        <w:rPr>
          <w:rStyle w:val="Fontepargpadro1"/>
          <w:rFonts w:eastAsia="Times New Roman" w:cs="Times New Roman" w:ascii="Times New Roman" w:hAnsi="Times New Roman"/>
          <w:b/>
          <w:bCs/>
          <w:i w:val="false"/>
          <w:iCs w:val="false"/>
          <w:color w:val="000000"/>
          <w:sz w:val="22"/>
          <w:szCs w:val="22"/>
          <w:lang w:val="pt-BR" w:eastAsia="pt-BR" w:bidi="ar-SA"/>
        </w:rPr>
        <w:t xml:space="preserve">Instituto Federal de Educação, Ciência e Tecnologia Sertão Pernambucano, </w:t>
      </w:r>
      <w:bookmarkStart w:id="7" w:name="__DdeLink__56933_652275773"/>
      <w:r>
        <w:rPr>
          <w:rStyle w:val="Fontepargpadro1"/>
          <w:rFonts w:eastAsia="Times New Roman" w:cs="Times New Roman" w:ascii="Times New Roman" w:hAnsi="Times New Roman"/>
          <w:b/>
          <w:bCs/>
          <w:i w:val="false"/>
          <w:iCs w:val="false"/>
          <w:color w:val="000000"/>
          <w:sz w:val="22"/>
          <w:szCs w:val="22"/>
          <w:lang w:val="pt-BR" w:eastAsia="pt-BR" w:bidi="ar-SA"/>
        </w:rPr>
        <w:t>Campus Serra Talhada</w:t>
      </w:r>
      <w:bookmarkEnd w:id="7"/>
      <w:r>
        <w:rPr>
          <w:rStyle w:val="Fontepargpadro1"/>
          <w:rFonts w:eastAsia="Times New Roman" w:cs="Times New Roman" w:ascii="Times New Roman" w:hAnsi="Times New Roman"/>
          <w:b/>
          <w:bCs/>
          <w:i w:val="false"/>
          <w:iCs w:val="false"/>
          <w:color w:val="000000"/>
          <w:sz w:val="22"/>
          <w:szCs w:val="22"/>
          <w:lang w:val="pt-BR" w:eastAsia="pt-BR" w:bidi="ar-SA"/>
        </w:rPr>
        <w:t xml:space="preserve">, </w:t>
      </w:r>
      <w:r>
        <w:rPr>
          <w:rStyle w:val="Fontepargpadro1"/>
          <w:rFonts w:eastAsia="Times New Roman" w:cs="Arial" w:ascii="Liberation Serif" w:hAnsi="Liberation Serif"/>
          <w:b/>
          <w:bCs/>
          <w:i w:val="false"/>
          <w:iCs w:val="false"/>
          <w:color w:val="000000"/>
          <w:sz w:val="19"/>
          <w:szCs w:val="19"/>
          <w:lang w:val="pt-BR" w:eastAsia="pt-BR" w:bidi="ar-SA"/>
        </w:rPr>
        <w:t xml:space="preserve">PE 320, Km 126, Fazenda Estreito, Zona Rural, S/N  CEP: 56.900-000 – Serra Talhada-PE - Fone: (87) 9 8866-1978. </w:t>
      </w:r>
      <w:r>
        <w:rPr>
          <w:rStyle w:val="Fontepargpadro1"/>
          <w:rFonts w:eastAsia="Times New Roman" w:cs="Times New Roman" w:ascii="Times New Roman" w:hAnsi="Times New Roman"/>
          <w:b w:val="false"/>
          <w:bCs w:val="false"/>
          <w:i w:val="false"/>
          <w:iCs w:val="false"/>
          <w:color w:val="000000"/>
          <w:sz w:val="22"/>
          <w:szCs w:val="22"/>
          <w:lang w:val="pt-BR" w:eastAsia="pt-BR" w:bidi="ar-SA"/>
        </w:rPr>
        <w:t>Nesse endereço serão entregue os itens que se referem a</w:t>
      </w:r>
      <w:r>
        <w:rPr>
          <w:rStyle w:val="Fontepargpadro1"/>
          <w:rFonts w:eastAsia="Times New Roman" w:cs="Times New Roman" w:ascii="Times New Roman" w:hAnsi="Times New Roman"/>
          <w:b/>
          <w:bCs/>
          <w:i w:val="false"/>
          <w:iCs w:val="false"/>
          <w:color w:val="000000"/>
          <w:sz w:val="22"/>
          <w:szCs w:val="22"/>
          <w:lang w:val="pt-BR" w:eastAsia="pt-BR" w:bidi="ar-SA"/>
        </w:rPr>
        <w:t>o  Campus Serra Talhada.</w:t>
      </w:r>
    </w:p>
    <w:p>
      <w:pPr>
        <w:pStyle w:val="Normal"/>
        <w:widowControl/>
        <w:tabs>
          <w:tab w:val="left" w:pos="1135" w:leader="none"/>
        </w:tabs>
        <w:overflowPunct w:val="false"/>
        <w:bidi w:val="0"/>
        <w:spacing w:lineRule="auto" w:line="276" w:before="120" w:after="120"/>
        <w:ind w:left="1134" w:right="0" w:hanging="0"/>
        <w:jc w:val="both"/>
        <w:rPr>
          <w:rStyle w:val="Fontepargpadro1"/>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widowControl/>
        <w:tabs>
          <w:tab w:val="left" w:pos="1135" w:leader="none"/>
        </w:tabs>
        <w:overflowPunct w:val="false"/>
        <w:bidi w:val="0"/>
        <w:spacing w:lineRule="auto" w:line="276" w:before="120" w:after="120"/>
        <w:ind w:left="1134" w:right="0" w:hanging="85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4.2  No caso de produtos perecíveis, o prazo de validade na data da entrega não poderá ser inferior a metade do prazo total recomendado pelo fabricante.</w:t>
      </w:r>
    </w:p>
    <w:p>
      <w:pPr>
        <w:pStyle w:val="Normal"/>
        <w:numPr>
          <w:ilvl w:val="0"/>
          <w:numId w:val="0"/>
        </w:numPr>
        <w:spacing w:lineRule="auto" w:line="276" w:before="120" w:after="120"/>
        <w:ind w:left="2347" w:right="0" w:hanging="0"/>
        <w:jc w:val="both"/>
        <w:rPr>
          <w:highlight w:val="magenta"/>
        </w:rPr>
      </w:pPr>
      <w:r>
        <w:rPr>
          <w:rFonts w:eastAsia="Times New Roman" w:cs="Times New Roman" w:ascii="Times New Roman" w:hAnsi="Times New Roman"/>
          <w:b w:val="false"/>
          <w:bCs w:val="false"/>
          <w:i w:val="false"/>
          <w:iCs w:val="false"/>
          <w:color w:val="000000"/>
          <w:sz w:val="22"/>
          <w:szCs w:val="22"/>
          <w:lang w:val="pt-BR" w:eastAsia="pt-BR" w:bidi="ar-SA"/>
        </w:rPr>
        <w:t xml:space="preserve">   </w:t>
      </w:r>
      <w:r>
        <w:rPr>
          <w:rFonts w:eastAsia="Times New Roman" w:cs="Times New Roman" w:ascii="Times New Roman" w:hAnsi="Times New Roman"/>
          <w:b w:val="false"/>
          <w:bCs w:val="false"/>
          <w:i w:val="false"/>
          <w:iCs w:val="false"/>
          <w:color w:val="000000"/>
          <w:sz w:val="22"/>
          <w:szCs w:val="22"/>
          <w:lang w:val="pt-BR" w:eastAsia="pt-BR" w:bidi="ar-SA"/>
        </w:rPr>
        <w:t xml:space="preserve">4.3 Os bens serão recebidos provisoriamente no prazo de 03(três) dias, pelo(a) responsável pelo acompanhamento e fiscalização do contrato, para efeito de posterior verificação de sua conformidade com as especificações constantes neste Termo de Referência e na proposta.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4.4 Os bens poderão ser rejeitados, no todo ou em parte, quando em desacordo com as especificações constantes neste Termo de Referência e na proposta, devendo ser substituídos no prazo de 03(três) dias, a contar da notificação da contratada, às suas custas, sem prejuízo da aplicação das penalidades.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 Os bens serão recebidos definitivamente no prazo de 03(três) dias, contados do recebimento provisório, após a verificação da qualidade e quantidade do material e consequente aceitação mediante termo circunstanciado.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4.5.1 Na hipótese de a verificação a que se refere o subitem anterior não ser procedida dentro do prazo fixado, reputar-se-á como realizada, consumando-se o recebimento definitivo no dia do esgotamento do prazo.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4.6. O recebimento provisório ou definitivo do objeto não exclui a responsabilidade da contratada pelos prejuízos resultantes da incorreta execução do contrato.</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5. DAS OBRIGAÇÕES DA CONTRATANTE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 São obrigações da Contratante: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5.1.1 receber o objeto no prazo e condições estabelecidas no Edital e seus anexos;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5.1.2 verificar minuciosamente, no prazo fixado, a conformidade dos bens recebidos provisoriamente com as especificações constantes do Edital e da proposta, para fins de aceitação e recebimento definitivo;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5.1.3 comunicar à Contratada, por escrito, sobre imperfeições, falhas ou irregularidades verificadas no objeto fornecido, para que seja substituído, reparado ou corrigido;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5.1.4 acompanhar e fiscalizar o cumprimento das obrigações da Contratada, através de comissão/servidor especialmente designado;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5.1.5 efetuar o pagamento à Contratada no valor correspondente ao fornecimento do objeto, no prazo e forma estabelecidos no Edital e seus anexos;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5.3. A Administração realizará pesquisa de preços periodicamente, em prazo não superior a 180 (cento e oitenta) dias, a fim de verificar a vantajosidade dos preços registrados em Ata.</w:t>
      </w:r>
    </w:p>
    <w:p>
      <w:pPr>
        <w:pStyle w:val="Normal"/>
        <w:spacing w:lineRule="auto" w:line="276" w:before="120" w:after="120"/>
        <w:ind w:left="1567"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6. OBRIGAÇÕES DA CONTRATADA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 A Contratada deve cumprir todas as obrigações constantes no Edital, seus anexos e sua proposta, assumindo como exclusivamente seus os riscos e as despesas decorrentes da boa e perfeita execução do objeto e, ainda: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6.1.1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6.1.2 responsabilizar-se pelos vícios e danos decorrentes do objeto, de acordo com os artigos 12, 13 e 17 a 27, do Código de Defesa do Consumidor (Lei nº 8.078, de 1990);</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6.1.3 substituir, reparar ou corrigir, às suas expensas, no prazo fixado neste Termo de Referência, o objeto com avarias ou defeitos;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6.1.4. comunicar à Contratante, no prazo máximo de 24 (vinte e quatro) horas que antecede a data da entrega, os motivos que impossibilitem o cumprimento do prazo previsto, com a devida comprovação;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6.1.5 manter, durante toda a execução do contrato, em compatibilidade com as obrigações assumidas, todas as condições de habilitação e qualificação exigidas na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6.1.6 indicar preposto para representá-la durante a execução do contrato.</w:t>
      </w:r>
    </w:p>
    <w:p>
      <w:pPr>
        <w:pStyle w:val="Normal"/>
        <w:spacing w:lineRule="auto" w:line="276" w:before="0" w:after="120"/>
        <w:ind w:left="360" w:right="-15"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120" w:after="120"/>
        <w:ind w:left="360" w:right="0"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7. DA SUBCONTRATAÇÃO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7.1 Não será admitida a subcontratação do objeto licitatório.</w:t>
      </w:r>
    </w:p>
    <w:p>
      <w:pPr>
        <w:pStyle w:val="Normal"/>
        <w:spacing w:lineRule="auto" w:line="276" w:before="120" w:after="120"/>
        <w:ind w:left="0"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8. ALTERAÇÃO SUBJETIVA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9. CONTROLE DA EXECUÇÃO</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widowControl/>
        <w:numPr>
          <w:ilvl w:val="0"/>
          <w:numId w:val="0"/>
        </w:numPr>
        <w:overflowPunct w:val="true"/>
        <w:bidi w:val="0"/>
        <w:spacing w:lineRule="auto" w:line="276" w:before="120" w:after="120"/>
        <w:ind w:left="3906" w:right="0" w:hanging="0"/>
        <w:jc w:val="both"/>
        <w:rPr>
          <w:color w:val="000000"/>
        </w:rPr>
      </w:pPr>
      <w:r>
        <w:rPr>
          <w:rFonts w:eastAsia="Times New Roman" w:cs="Arial" w:ascii="Times New Roman" w:hAnsi="Times New Roman"/>
          <w:b w:val="false"/>
          <w:bCs w:val="false"/>
          <w:i w:val="false"/>
          <w:iCs w:val="false"/>
          <w:color w:val="000000"/>
          <w:sz w:val="20"/>
          <w:szCs w:val="20"/>
          <w:lang w:val="pt-BR" w:eastAsia="en-US" w:bidi="ar-SA"/>
        </w:rPr>
        <w:t>9.1.1.</w:t>
        <w:tab/>
        <w:t>O recebimento de material de valores superiores a R$176.000,00 (cento e setenta e seis mil reais), será confiado a uma comissão de, no mínimo, 3 (três) membros, designados pela autoridade competente.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numPr>
          <w:ilvl w:val="0"/>
          <w:numId w:val="0"/>
        </w:numPr>
        <w:spacing w:lineRule="auto" w:line="276" w:before="0" w:after="120"/>
        <w:ind w:left="360" w:right="-15" w:hanging="0"/>
        <w:jc w:val="both"/>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10. DAS SANÇÕES ADMINISTRATIVAS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 Comete infração administrativa nos termos da Lei nº 8.666, de 1993 e da Lei nº 10.520, de 2002, a Contratada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10.1.1 inexecutar total ou parcialmente qualquer das obrigações assumidas em decorrência da contratação;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10.1.2 ensejar o retardamento da execução do objeto;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10.1.3 fraudar na execução do contrato;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10.1.4 comportar-se de modo inidôneo;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10.1.5 cometer fraude fiscal;</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10.1.6 não mantiver a proposta.</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 A Contratada que cometer qualquer das infrações discriminadas no subitem acima ficará sujeita, sem prejuízo da responsabilidade civil e criminal, às seguintes sanções: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10.2.1 advertência por faltas leves, assim entendidas aquelas que não acarretem prejuízos significativos para a Contratante;</w:t>
      </w:r>
    </w:p>
    <w:p>
      <w:pPr>
        <w:pStyle w:val="Normal"/>
        <w:numPr>
          <w:ilvl w:val="0"/>
          <w:numId w:val="0"/>
        </w:numPr>
        <w:spacing w:lineRule="auto" w:line="276" w:before="120" w:after="120"/>
        <w:ind w:left="1922"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10.2.2 0,5% (zero vírgula cinco por cento) por dia de atraso injustificado sobre o valor da parcela inadimplida, até o limite de 20 (vinte) dias;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10.2.3 multa compensatória de 10% (dez por cento) sobre o valor total do contrato, no caso de inexecução total do objeto;</w:t>
      </w:r>
    </w:p>
    <w:p>
      <w:pPr>
        <w:pStyle w:val="Normal"/>
        <w:numPr>
          <w:ilvl w:val="0"/>
          <w:numId w:val="0"/>
        </w:numPr>
        <w:spacing w:lineRule="auto" w:line="276" w:before="120" w:after="120"/>
        <w:ind w:left="3056" w:right="0" w:hanging="0"/>
        <w:jc w:val="both"/>
        <w:rPr>
          <w:highlight w:val="darkYellow"/>
        </w:rPr>
      </w:pPr>
      <w:r>
        <w:rPr>
          <w:rFonts w:eastAsia="Times New Roman" w:cs="Times New Roman" w:ascii="Times New Roman" w:hAnsi="Times New Roman"/>
          <w:b w:val="false"/>
          <w:bCs w:val="false"/>
          <w:i w:val="false"/>
          <w:iCs w:val="false"/>
          <w:color w:val="000000"/>
          <w:sz w:val="22"/>
          <w:szCs w:val="22"/>
          <w:lang w:val="pt-BR" w:eastAsia="pt-BR" w:bidi="ar-SA"/>
        </w:rPr>
        <w:t>10.2.4 em caso de inexecução parcial, a multa compensatória, no mesmo percentual do subitem acima, será aplicada de forma proporcional à obrigação inadimplida;</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10.2.5 suspensão de licitar e impedimento de contratar com o órgão, entidade ou unidade administrativa pela qual a Administração Pública opera e atua concretamente, pelo prazo de até dois anos; </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10.2.6. impedimento de licitar e contratar com a União com o consequente descredenciamento no SICAF pelo prazo de até cinco anos;</w:t>
      </w:r>
    </w:p>
    <w:p>
      <w:pPr>
        <w:pStyle w:val="Normal"/>
        <w:numPr>
          <w:ilvl w:val="0"/>
          <w:numId w:val="0"/>
        </w:numPr>
        <w:spacing w:lineRule="auto" w:line="276" w:before="120" w:after="120"/>
        <w:ind w:left="3056"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3056" w:right="0" w:hanging="0"/>
        <w:jc w:val="both"/>
        <w:rPr>
          <w:color w:val="000000"/>
        </w:rPr>
      </w:pPr>
      <w:r>
        <w:rPr>
          <w:rFonts w:eastAsia="Times New Roman" w:cs="Times New Roman" w:ascii="Times New Roman" w:hAnsi="Times New Roman"/>
          <w:b w:val="false"/>
          <w:bCs w:val="false"/>
          <w:i w:val="false"/>
          <w:iCs w:val="false"/>
          <w:color w:val="000000"/>
          <w:sz w:val="22"/>
          <w:szCs w:val="22"/>
          <w:lang w:val="pt-BR" w:eastAsia="pt-BR" w:bidi="ar-SA"/>
        </w:rPr>
        <w:t xml:space="preserve">10.2.8 </w:t>
      </w:r>
      <w:r>
        <w:rPr>
          <w:rFonts w:eastAsia="Times New Roman" w:cs="Arial" w:ascii="Times New Roman" w:hAnsi="Times New Roman"/>
          <w:b w:val="false"/>
          <w:bCs w:val="false"/>
          <w:i w:val="false"/>
          <w:iCs w:val="false"/>
          <w:color w:val="000000"/>
          <w:sz w:val="20"/>
          <w:szCs w:val="20"/>
          <w:lang w:val="pt-BR" w:eastAsia="pt-BR" w:bidi="ar-SA"/>
        </w:rPr>
        <w:t xml:space="preserve">As sanções previstas poderão ser aplicadas à contratada juntamente com as de multa, descontando-a dos pagamentos a serem efetuados. </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 Também ficam sujeitas às penalidades do art. 87, III e IV da Lei nº 8.666, de 1993, as empresas e os profissionais que:</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10.3.1 tenham sofrido condenação definitiva por praticar, por meio dolosos, fraude fiscal no recolhimento de quaisquer tributos;</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10.3.2 tenham praticado atos ilícitos visando a frustrar os objetivos da licitação;</w:t>
      </w:r>
    </w:p>
    <w:p>
      <w:pPr>
        <w:pStyle w:val="Normal"/>
        <w:numPr>
          <w:ilvl w:val="0"/>
          <w:numId w:val="0"/>
        </w:numPr>
        <w:spacing w:lineRule="auto" w:line="276" w:before="120" w:after="120"/>
        <w:ind w:left="305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10.3.3 demonstrem não possuir idoneidade para contratar com a Administração em virtude de atos ilícitos praticados.</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10.3.5.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1566" w:right="0" w:hanging="0"/>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10.4. As penalidades serão obrigatoriamente registradas no SICAF.</w:t>
      </w:r>
    </w:p>
    <w:p>
      <w:pPr>
        <w:pStyle w:val="Normal"/>
        <w:numPr>
          <w:ilvl w:val="0"/>
          <w:numId w:val="0"/>
        </w:numPr>
        <w:spacing w:lineRule="auto" w:line="276" w:before="120" w:after="120"/>
        <w:ind w:left="1566" w:right="0" w:hanging="0"/>
        <w:jc w:val="both"/>
        <w:rPr/>
      </w:pPr>
      <w:r>
        <w:rPr>
          <w:rFonts w:eastAsia="Times New Roman" w:cs="Times New Roman" w:ascii="Times New Roman" w:hAnsi="Times New Roman"/>
          <w:b w:val="false"/>
          <w:bCs w:val="false"/>
          <w:i w:val="false"/>
          <w:iCs w:val="false"/>
          <w:color w:val="000000"/>
          <w:sz w:val="22"/>
          <w:szCs w:val="22"/>
          <w:lang w:val="pt-BR" w:eastAsia="pt-BR" w:bidi="ar-SA"/>
        </w:rPr>
        <w:t>10.5. Integra este Termo de Referência, para todos os fins e efeitos, o anexo:</w:t>
      </w:r>
    </w:p>
    <w:p>
      <w:pPr>
        <w:pStyle w:val="Normal"/>
        <w:numPr>
          <w:ilvl w:val="0"/>
          <w:numId w:val="0"/>
        </w:numPr>
        <w:spacing w:lineRule="auto" w:line="276" w:before="120" w:after="120"/>
        <w:ind w:left="1566" w:right="0" w:hanging="0"/>
        <w:jc w:val="both"/>
        <w:rPr/>
      </w:pPr>
      <w:r>
        <w:rPr>
          <w:rFonts w:eastAsia="Times New Roman" w:cs="Times New Roman" w:ascii="Times New Roman" w:hAnsi="Times New Roman"/>
          <w:b/>
          <w:bCs/>
          <w:i w:val="false"/>
          <w:iCs w:val="false"/>
          <w:color w:val="000000"/>
          <w:sz w:val="22"/>
          <w:szCs w:val="22"/>
          <w:lang w:val="pt-BR" w:eastAsia="pt-BR" w:bidi="ar-SA"/>
        </w:rPr>
        <w:t xml:space="preserve">10.5.1 ANEXO I – A: </w:t>
      </w:r>
      <w:r>
        <w:rPr>
          <w:rStyle w:val="Fontepargpadro"/>
          <w:rFonts w:eastAsia="Times New Roman" w:cs="Times New Roman" w:ascii="Times New Roman" w:hAnsi="Times New Roman"/>
          <w:b/>
          <w:bCs/>
          <w:i w:val="false"/>
          <w:iCs w:val="false"/>
          <w:color w:val="000000"/>
          <w:sz w:val="22"/>
          <w:szCs w:val="22"/>
          <w:lang w:val="pt-BR" w:eastAsia="pt-BR" w:bidi="ar-SA"/>
        </w:rPr>
        <w:t>Planilha de Preços Máximos Estimados pela Administração</w:t>
      </w:r>
    </w:p>
    <w:p>
      <w:pPr>
        <w:pStyle w:val="Normal"/>
        <w:numPr>
          <w:ilvl w:val="0"/>
          <w:numId w:val="0"/>
        </w:numPr>
        <w:spacing w:lineRule="auto" w:line="276" w:before="120" w:after="120"/>
        <w:ind w:left="1141" w:hanging="0"/>
        <w:jc w:val="both"/>
        <w:rPr>
          <w:rStyle w:val="Fontepargpadro"/>
          <w:rFonts w:ascii="Times New Roman" w:hAnsi="Times New Roman" w:eastAsia="Times New Roman" w:cs="Times New Roman"/>
          <w:b w:val="false"/>
          <w:b w:val="false"/>
          <w:bCs w:val="false"/>
          <w:i w:val="false"/>
          <w:i w:val="false"/>
          <w:iCs w:val="false"/>
          <w:color w:val="000000"/>
          <w:sz w:val="22"/>
          <w:szCs w:val="22"/>
          <w:highlight w:val="yellow"/>
          <w:lang w:val="pt-BR" w:eastAsia="pt-BR" w:bidi="ar-SA"/>
        </w:rPr>
      </w:pPr>
      <w:r>
        <w:rPr>
          <w:rFonts w:eastAsia="Times New Roman" w:cs="Times New Roman" w:ascii="Times New Roman" w:hAnsi="Times New Roman"/>
          <w:b w:val="false"/>
          <w:bCs w:val="false"/>
          <w:i w:val="false"/>
          <w:iCs w:val="false"/>
          <w:color w:val="000000"/>
          <w:sz w:val="22"/>
          <w:szCs w:val="22"/>
          <w:highlight w:val="yellow"/>
          <w:lang w:val="pt-BR" w:eastAsia="pt-BR" w:bidi="ar-SA"/>
        </w:rPr>
      </w:r>
    </w:p>
    <w:p>
      <w:pPr>
        <w:pStyle w:val="Normal"/>
        <w:spacing w:before="0" w:after="360"/>
        <w:ind w:left="0" w:right="0" w:hanging="0"/>
        <w:jc w:val="right"/>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360"/>
        <w:ind w:left="0" w:right="0"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12 de Fevereiro de 2019. </w:t>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Normal"/>
        <w:spacing w:before="0" w:after="75"/>
        <w:ind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________________________________</w:t>
      </w:r>
    </w:p>
    <w:p>
      <w:pPr>
        <w:pStyle w:val="Normal"/>
        <w:spacing w:before="0" w:after="75"/>
        <w:ind w:left="360" w:right="0" w:hanging="0"/>
        <w:jc w:val="center"/>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 xml:space="preserve">Identificação e assinatura do servidor (ou equipe) responsável </w:t>
      </w:r>
    </w:p>
    <w:p>
      <w:pPr>
        <w:pStyle w:val="Normal"/>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r>
    </w:p>
    <w:p>
      <w:pPr>
        <w:pStyle w:val="Corpodetexto"/>
        <w:spacing w:before="0" w:after="120"/>
        <w:rPr>
          <w:highlight w:val="white"/>
        </w:rPr>
      </w:pPr>
      <w:r>
        <w:rPr>
          <w:highlight w:val="white"/>
        </w:rPr>
      </w:r>
    </w:p>
    <w:p>
      <w:pPr>
        <w:pStyle w:val="Corpodetexto"/>
        <w:spacing w:before="0" w:after="120"/>
        <w:rPr>
          <w:highlight w:val="white"/>
        </w:rPr>
      </w:pPr>
      <w:r>
        <w:rPr>
          <w:highlight w:val="white"/>
        </w:rPr>
      </w:r>
    </w:p>
    <w:p>
      <w:pPr>
        <w:pStyle w:val="Corpodetexto"/>
        <w:spacing w:before="0" w:after="120"/>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highlight w:val="white"/>
          <w:lang w:val="pt-BR" w:eastAsia="pt-BR" w:bidi="ar-SA"/>
        </w:rPr>
        <w:t>APROVO:</w:t>
      </w:r>
    </w:p>
    <w:p>
      <w:pPr>
        <w:pStyle w:val="Corpodetexto"/>
        <w:spacing w:before="0" w:after="120"/>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both"/>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lang w:val="pt-BR" w:eastAsia="pt-BR" w:bidi="ar-SA"/>
        </w:rPr>
        <w:t xml:space="preserve">O presente Termo de Referência de acordo com o inciso II do Artigo 9º do Decreto nº 5.450/2005, cuja finalidade é subsidiar os licitantes de todas as informações necessárias à participação no certame de Pregão Eletrônico para </w:t>
      </w:r>
      <w:r>
        <w:rPr>
          <w:rFonts w:eastAsia="Times New Roman" w:cs="Times New Roman" w:ascii="Times New Roman" w:hAnsi="Times New Roman"/>
          <w:b/>
          <w:bCs/>
          <w:i w:val="false"/>
          <w:iCs w:val="false"/>
          <w:color w:val="000000"/>
          <w:sz w:val="22"/>
          <w:szCs w:val="22"/>
          <w:lang w:val="pt-BR" w:eastAsia="pt-BR" w:bidi="ar-SA"/>
        </w:rPr>
        <w:t>Aquisição de gêneros alimentícios</w:t>
      </w:r>
      <w:r>
        <w:rPr>
          <w:rFonts w:eastAsia="Times New Roman" w:cs="Times New Roman" w:ascii="Times New Roman" w:hAnsi="Times New Roman"/>
          <w:b w:val="false"/>
          <w:bCs w:val="false"/>
          <w:i w:val="false"/>
          <w:iCs w:val="false"/>
          <w:color w:val="000000"/>
          <w:sz w:val="22"/>
          <w:szCs w:val="22"/>
          <w:lang w:val="pt-BR" w:eastAsia="pt-BR" w:bidi="ar-SA"/>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rFonts w:ascii="Times New Roman" w:hAnsi="Times New Roman" w:eastAsia="Times New Roman" w:cs="Times New Roman"/>
          <w:b w:val="false"/>
          <w:b w:val="false"/>
          <w:bCs w:val="false"/>
          <w:i w:val="false"/>
          <w:i w:val="false"/>
          <w:iCs w:val="false"/>
          <w:color w:val="000000"/>
          <w:sz w:val="22"/>
          <w:szCs w:val="22"/>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t> </w:t>
      </w:r>
    </w:p>
    <w:p>
      <w:pPr>
        <w:pStyle w:val="Corpodetexto"/>
        <w:spacing w:lineRule="auto" w:line="240" w:before="57" w:after="57"/>
        <w:jc w:val="center"/>
        <w:rPr>
          <w:rFonts w:ascii="Times New Roman" w:hAnsi="Times New Roman" w:eastAsia="Times New Roman" w:cs="Times New Roman"/>
          <w:b w:val="false"/>
          <w:b w:val="false"/>
          <w:bCs w:val="false"/>
          <w:i w:val="false"/>
          <w:i w:val="false"/>
          <w:iCs w:val="false"/>
          <w:color w:val="000000"/>
          <w:sz w:val="22"/>
          <w:szCs w:val="22"/>
          <w:highlight w:val="white"/>
          <w:lang w:val="pt-BR" w:eastAsia="pt-BR" w:bidi="ar-SA"/>
        </w:rPr>
      </w:pPr>
      <w:r>
        <w:rPr>
          <w:rFonts w:eastAsia="Times New Roman" w:cs="Times New Roman" w:ascii="Times New Roman" w:hAnsi="Times New Roman"/>
          <w:b w:val="false"/>
          <w:bCs w:val="false"/>
          <w:i w:val="false"/>
          <w:iCs w:val="false"/>
          <w:color w:val="000000"/>
          <w:sz w:val="22"/>
          <w:szCs w:val="22"/>
          <w:highlight w:val="white"/>
          <w:lang w:val="pt-BR" w:eastAsia="pt-BR" w:bidi="ar-SA"/>
        </w:rPr>
      </w:r>
    </w:p>
    <w:p>
      <w:pPr>
        <w:pStyle w:val="Normal"/>
        <w:spacing w:lineRule="auto" w:line="240" w:before="0" w:after="360"/>
        <w:ind w:left="0" w:right="0" w:hanging="0"/>
        <w:jc w:val="right"/>
        <w:rPr/>
      </w:pPr>
      <w:r>
        <w:rPr>
          <w:rFonts w:eastAsia="Times New Roman" w:cs="Times New Roman" w:ascii="Times New Roman" w:hAnsi="Times New Roman"/>
          <w:b w:val="false"/>
          <w:bCs w:val="false"/>
          <w:i w:val="false"/>
          <w:iCs w:val="false"/>
          <w:color w:val="000000"/>
          <w:sz w:val="22"/>
          <w:szCs w:val="22"/>
          <w:lang w:val="pt-BR" w:eastAsia="pt-BR" w:bidi="ar-SA"/>
        </w:rPr>
        <w:t xml:space="preserve">Petrolina-PE, 12 de Fevereiro de 2019. </w:t>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rFonts w:ascii="Arial;sans-serif" w:hAnsi="Arial;sans-serif" w:eastAsia="Segoe UI" w:cs="Arial;sans-serif"/>
          <w:b w:val="false"/>
          <w:b w:val="false"/>
          <w:bCs w:val="false"/>
          <w:i w:val="false"/>
          <w:i w:val="false"/>
          <w:iCs w:val="false"/>
          <w:color w:val="00000A"/>
          <w:sz w:val="20"/>
          <w:szCs w:val="22"/>
          <w:highlight w:val="white"/>
          <w:u w:val="none"/>
          <w:lang w:val="pt-BR" w:eastAsia="pt-BR" w:bidi="ar-SA"/>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r>
    </w:p>
    <w:p>
      <w:pPr>
        <w:pStyle w:val="Corpodetexto"/>
        <w:spacing w:lineRule="auto" w:line="240" w:before="0" w:after="0"/>
        <w:jc w:val="center"/>
        <w:rPr/>
      </w:pPr>
      <w:r>
        <w:rPr>
          <w:rFonts w:eastAsia="Segoe UI" w:cs="Arial;sans-serif" w:ascii="Arial;sans-serif" w:hAnsi="Arial;sans-serif"/>
          <w:b w:val="false"/>
          <w:bCs w:val="false"/>
          <w:i w:val="false"/>
          <w:iCs w:val="false"/>
          <w:color w:val="00000A"/>
          <w:sz w:val="20"/>
          <w:szCs w:val="22"/>
          <w:highlight w:val="white"/>
          <w:u w:val="none"/>
          <w:lang w:val="pt-BR" w:eastAsia="pt-BR" w:bidi="ar-SA"/>
        </w:rPr>
        <w:t>___________________________________________</w:t>
      </w:r>
    </w:p>
    <w:p>
      <w:pPr>
        <w:pStyle w:val="Corpodetexto"/>
        <w:spacing w:lineRule="auto" w:line="240" w:before="0" w:after="0"/>
        <w:jc w:val="center"/>
        <w:rPr>
          <w:b/>
          <w:b/>
          <w:bCs/>
        </w:rPr>
      </w:pPr>
      <w:r>
        <w:rPr>
          <w:rFonts w:eastAsia="Segoe UI" w:cs="Arial;sans-serif" w:ascii="Arial;sans-serif" w:hAnsi="Arial;sans-serif"/>
          <w:b/>
          <w:bCs/>
          <w:i w:val="false"/>
          <w:iCs w:val="false"/>
          <w:color w:val="00000A"/>
          <w:sz w:val="20"/>
          <w:szCs w:val="22"/>
          <w:highlight w:val="white"/>
          <w:u w:val="none"/>
          <w:lang w:val="pt-BR" w:eastAsia="pt-BR" w:bidi="ar-SA"/>
        </w:rPr>
        <w:t>Autoridade Máxima do</w:t>
      </w:r>
      <w:r>
        <w:rPr>
          <w:rFonts w:eastAsia="Times New Roman" w:cs="Times New Roman" w:ascii="Times New Roman" w:hAnsi="Times New Roman"/>
          <w:b/>
          <w:bCs/>
          <w:i w:val="false"/>
          <w:iCs w:val="false"/>
          <w:color w:val="000000"/>
          <w:sz w:val="22"/>
          <w:szCs w:val="22"/>
          <w:highlight w:val="white"/>
          <w:u w:val="none"/>
          <w:lang w:val="pt-BR" w:eastAsia="pt-BR" w:bidi="ar-SA"/>
        </w:rPr>
        <w:t xml:space="preserve"> IFSERTÃOPE</w:t>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t>ANEXO I – A</w:t>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2"/>
          <w:szCs w:val="22"/>
          <w:lang w:val="pt-BR" w:eastAsia="pt-BR" w:bidi="ar-SA"/>
        </w:rPr>
      </w:pPr>
      <w:r>
        <w:rPr>
          <w:rFonts w:eastAsia="Times New Roman" w:cs="Times New Roman" w:ascii="Times New Roman" w:hAnsi="Times New Roman"/>
          <w:b/>
          <w:bCs/>
          <w:i w:val="false"/>
          <w:iCs w:val="false"/>
          <w:color w:val="000000"/>
          <w:sz w:val="22"/>
          <w:szCs w:val="22"/>
          <w:lang w:val="pt-BR" w:eastAsia="pt-BR" w:bidi="ar-SA"/>
        </w:rPr>
      </w:r>
    </w:p>
    <w:p>
      <w:pPr>
        <w:pStyle w:val="Normal"/>
        <w:tabs>
          <w:tab w:val="left" w:pos="3030" w:leader="none"/>
        </w:tabs>
        <w:spacing w:lineRule="atLeast" w:line="100"/>
        <w:jc w:val="center"/>
        <w:rPr/>
      </w:pPr>
      <w:r>
        <w:rPr>
          <w:rStyle w:val="Fontepargpadro"/>
          <w:rFonts w:cs="Arial" w:ascii="Arial" w:hAnsi="Arial"/>
          <w:b/>
          <w:sz w:val="20"/>
          <w:szCs w:val="20"/>
        </w:rPr>
        <w:t>PLANILHA DE PREÇOS MÁXIMOS ESTIMADOS PELA ADMINISTRAÇÃO</w:t>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lineRule="auto" w:line="240" w:before="0" w:after="0"/>
              <w:jc w:val="center"/>
              <w:textAlignment w:val="center"/>
              <w:rPr>
                <w:rFonts w:ascii="Arial" w:hAnsi="Arial"/>
                <w:b/>
                <w:b/>
                <w:bCs/>
                <w:sz w:val="16"/>
                <w:szCs w:val="16"/>
              </w:rPr>
            </w:pPr>
            <w:r>
              <w:rPr>
                <w:rFonts w:ascii="Arial" w:hAnsi="Arial"/>
                <w:b/>
                <w:bCs/>
                <w:sz w:val="16"/>
                <w:szCs w:val="16"/>
              </w:rPr>
              <w:t>GRUPO 1: REITORIA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ind w:left="0" w:hanging="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ind w:left="0" w:hanging="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Achocolatado em pó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Achocolatado em pó, 1ª qualidade. Rotulagem de acordo com a legislação. Pacote 200g.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320,40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Achocolatado em pó diet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30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531,00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Açúcar cristal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Pacote</w:t>
            </w:r>
          </w:p>
          <w:p>
            <w:pPr>
              <w:pStyle w:val="Contedodatabela"/>
              <w:spacing w:before="0" w:after="0"/>
              <w:jc w:val="center"/>
              <w:rPr>
                <w:rFonts w:ascii="Arial" w:hAnsi="Arial"/>
                <w:sz w:val="16"/>
                <w:szCs w:val="16"/>
              </w:rPr>
            </w:pPr>
            <w:r>
              <w:rPr>
                <w:rFonts w:ascii="Arial" w:hAnsi="Arial"/>
                <w:sz w:val="16"/>
                <w:szCs w:val="16"/>
              </w:rPr>
              <w:t>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1.200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3.108,00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Adoçante (Unidade de 90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171,72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Biscoito tipo 1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Caixa c/ 20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09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726,75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Biscoito tipo 2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Caixa c/ 20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09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628,20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Café moído (Pacote com 250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Pacote c/</w:t>
            </w:r>
          </w:p>
          <w:p>
            <w:pPr>
              <w:pStyle w:val="Contedodatabela"/>
              <w:spacing w:before="0" w:after="0"/>
              <w:jc w:val="center"/>
              <w:rPr>
                <w:rFonts w:ascii="Arial" w:hAnsi="Arial"/>
                <w:sz w:val="16"/>
                <w:szCs w:val="16"/>
              </w:rPr>
            </w:pPr>
            <w:r>
              <w:rPr>
                <w:rFonts w:ascii="Arial" w:hAnsi="Arial"/>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1.800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9.864,00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Leite em pó tipo 1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Pacote c/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334,80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textAlignment w:val="center"/>
              <w:rPr>
                <w:rFonts w:ascii="Arial" w:hAnsi="Arial"/>
                <w:sz w:val="16"/>
                <w:szCs w:val="16"/>
              </w:rPr>
            </w:pPr>
            <w:r>
              <w:rPr>
                <w:rFonts w:ascii="Arial" w:hAnsi="Arial"/>
                <w:sz w:val="16"/>
                <w:szCs w:val="16"/>
              </w:rPr>
              <w:t>09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Leite em pó tipo 2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Pacote c/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554,40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10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Goiabada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sz w:val="16"/>
                <w:szCs w:val="16"/>
              </w:rPr>
            </w:pPr>
            <w:r>
              <w:rPr>
                <w:rFonts w:ascii="Arial" w:hAnsi="Arial"/>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289,80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VALOR TOTAL ESTIMADO PARA O GRUPO 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16.529,07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rPr/>
            </w:pPr>
            <w:r>
              <w:rPr>
                <w:rStyle w:val="Fontepargpadro"/>
                <w:rFonts w:ascii="Arial" w:hAnsi="Arial"/>
                <w:b/>
                <w:bCs/>
                <w:sz w:val="16"/>
                <w:szCs w:val="16"/>
              </w:rPr>
              <w:t xml:space="preserve">Local de Entrega: </w:t>
            </w:r>
            <w:r>
              <w:rPr>
                <w:rStyle w:val="Fontepargpadro"/>
                <w:rFonts w:ascii="Arial" w:hAnsi="Arial"/>
                <w:sz w:val="16"/>
                <w:szCs w:val="16"/>
              </w:rPr>
              <w:t>(Sede da Reitoria)</w:t>
            </w:r>
          </w:p>
          <w:p>
            <w:pPr>
              <w:pStyle w:val="Contedodatabela"/>
              <w:spacing w:before="0" w:after="0"/>
              <w:rPr>
                <w:rFonts w:ascii="Arial" w:hAnsi="Arial"/>
                <w:iCs/>
                <w:sz w:val="16"/>
                <w:szCs w:val="16"/>
              </w:rPr>
            </w:pPr>
            <w:r>
              <w:rPr>
                <w:rFonts w:ascii="Arial" w:hAnsi="Arial"/>
                <w:iCs/>
                <w:sz w:val="16"/>
                <w:szCs w:val="16"/>
              </w:rPr>
              <w:t>Rua Aristarco Lopes, s/n, Esquina com a Rua Pacífico da Luz, Centro, Petrolina-PE.</w:t>
            </w:r>
          </w:p>
        </w:tc>
      </w:tr>
    </w:tbl>
    <w:p>
      <w:pPr>
        <w:pStyle w:val="Corpodetexto"/>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02: CAMPI PETROLINA/OURICURI/SALGUEIRO – Proteínas Animal Bovina</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bovina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7.560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7540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22,38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169.192,80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bovina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20,76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830,40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bovina tipo 3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3.376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3366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18,98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64.076,48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bovina tipo 4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4.850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4.840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18,93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91.810,50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Fígado bovino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2.327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2.327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10,01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23.293,27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de charque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Charque traseira, tipo seca, bovina, resfriada, de primeira qualidade. Deverá possuir registro no órgão oficial, Selo de Inspeção Municipal (S.I.M.), Selo de Inspeção Estadual (S.I.E.) ou Selo de Inspeção Federal (S.I.F.). Embalada a vácuo. Produzida, embalada, rotulada e transportada em conformidade com as normas da legislação sanitária vigente.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2.225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24,70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54.957,50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2</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404.160,95</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Corpodetexto"/>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957"/>
        <w:gridCol w:w="2843"/>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03: CAMPI PETROLINA/OURICURI/SALGUEIRO – Proteínas Animal Aves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Coxa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3.344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3.324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9,24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30.898,56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Filé de peito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4.558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4.518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54.787,16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Peito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2.264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10,41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23.568,24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Galinha inteira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Galinha de capoeira, congelada, nova, com cheiro característico, sem limosidade. Produzida, embalada, rotulada e transportada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4.272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4.272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39.345,12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Sobrecoxa de frango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6.663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6.648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10,12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67.429,56</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3</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216.028,64</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04: CAMPI PETROLINA/OURICURI/SALGUEIRO – Proteínas Animal Suína, Caprina e Peixes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caprina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28,78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287,80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caprina/ovina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3.360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3.350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21,19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71.198,40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Filé de peixe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4.508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4.488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23,68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106.749,44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Filé de peixe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33,12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1.821,60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Lombo suíno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Lombo Suíno, congelado. Produzido, embalado, rotulado e transportado em conformidade com as normas da legislação sanitária vigente. Deverá possuir registro no órgão oficial, Selo de Inspeção Estadual (S.I.E.) ou Selo de Inspeção Federal (S.I.F.). O produto dever apresentar validade mínima de 03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1.844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1.832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17,95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33.099,80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Paleta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994,70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Pernil suíno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3.376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3.366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14,50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48.952,00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Costela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1.535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1.525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18,07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27.737,45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Bacon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19,00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3.534,00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4</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294.375,19</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05: CAMPI PETROLINA/OURICURI/SALGUEIRO – Derivados de Leite e Ovos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Iogurte tipo 1 (Pote com 170g)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63,80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Iogurte tipo 2 (Garrafa com 900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357,00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Manteiga (Balde com 05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158,96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20.982,72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Manteiga sem sal (Unidade 200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Manteiga de primeira qualidade sem sal. Validade mínima de 6 meses a partir da data de entrega. Embalagem de 200g, com dados de identificação na embalagem</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11,07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321,03</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Margarina tipo 1 (Balde com 15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109,50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5.037,00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Margarina tipo 2 (Pote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Margarina cremosa sem sal – 0% de gorduras trans. Contendo no mínimo 65% de lipídios. Embalagem em pote plástico de polietileno leitoso de alta densidade contendo 500g. Validade mínima de 6 meses a contar a partir da data de entrega. Na embalagem deverá constar o nome e marca do produto, data de fabricação, prazo de validade, número do lote e tabela de informação nutricional.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1.113,42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Margarina tipo 3 (Balde com 15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MARGARINA. BALDE COM 15 Kg. Margarina vegetal com sal com 80% de lipídeos, de primeira qualidade, livre de oxidação (ranço) e homogênea.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116,75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233,50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coalho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30,12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45.420,96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muçarela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1795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27,53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49.884,36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Ovos (Bandeja com 30 unidades)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495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13,68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7.004,16</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5</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130.417,95</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06: CAMPI PETROLINA/OURICURI/SALGUEIRO – Frios e Embutidos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Linguiça calabresa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18,19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27.394,14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Linguiça de frango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12,14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9.080,72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Linguiça suína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Linguiça suína.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12,45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9.312,60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Mortadela de frango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528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528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9,33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4.926,24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Presunto cozido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3007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24,16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72.649,12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Salsicha (Embalagem com 3kg)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Salsicha hot dog resfriada de frango. Validade mínima de 6 meses a partir da data de entrega no campus solicitante. Embalagem de 3kg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Embalagem 03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27,56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137,80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6</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123.500,62</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07: CAMPI PETROLINA/OURICURI/SALGUEIRO – Cereais e Farináceos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Amido de milho (Caixa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1.263,24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integral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1320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1320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4,38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5.781,60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parboilizado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5984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18.490,56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polido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POLIDO - agulhinha tipo 1, polido, longo fino, com laudo de classificação constando umidade máxima de 14% e quebrados até 9,5%. Embalagem de polietileno, atóxico, transparente, resistente e validade mínima de 06 meses a partir da data da entrega. Na embalagem deverá constar o nome e marca do produto, data de fabricação, prazo de validade, número do lote e tabela de informações nutricionais.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1197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3,45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4.129,65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vermelho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Arroz VERMELHO, limpo, longo, grãos inteiros, com teor de umidade máxima de 15%; isento de sujidades e materiais estranhos; acondicionado em saco plástico, validade mínima de 06 meses a contar da data da entrega,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6,30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63,00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Aveia (Caixa com 170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618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608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2.564,70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mandioca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Mandioca fina, branca, tipo 1. Industrializada. Rotulagem de acordo com a legislação. Data de validade mínima de 3 meses a contar da data de entrega do produto. Pacote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4,25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42,50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rosca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rosca industrializada, 1ª qualidade. Rotulagem de acordo com a legislação. Data de validade mínima de 2 meses a contar da data de entrega do produto. Pacote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6,89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564,98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trigo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360,00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trigo tipo 2 (50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trigo especial, sem fermento, tipo 1, para produção de pães. Deverá apresentar validade mínima de 03 meses a partir da data de entrega. Saco com 50kg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Saco 50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149,35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298,70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de milho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8996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15.383,16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Milho para munguzá tipo 1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2394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2394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8.570,52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Milho para munguzá tipo 2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Canjica de milho branco – Milho, de cor branca, grupo especial, despeliculado, tipo 1, para preparo do Munguzá doce (Canjica),grãos sem mofo, embalagem plástica, resistente, sem perfurações, validade mínima de 4 meses a partir da data de entrega à unidade requisitante. Rotulagem em conformidade à legislação vigente.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2394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2394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9.743,58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Mistura para preparo de canjiquinha (Pacote com 400g)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Mistura para preparo de Canjiquinha / curau. Preparo rápido. Embalada em sacos de poliéster metalizados. Rotulagem em conformidade à legislação vigente. Prazo de validade mínimo 02 meses a contar a partir da data de entrega . Pacote com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429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429</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3.058,77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Mistura para preparo de canjiquinha DIET (Pacote com 130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5,58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725,40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7</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71.040,36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08: CAMPI PETROLINA/OURICURI/SALGUEIRO – Leguminosas e Oleaginosas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Amendoim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675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6.108,75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Castanha de caju (Pacote com 100g)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10,85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3.189,90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Ervilha em conserva (Pacote com 2kg)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39</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19,41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776,40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Feijão carioca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1795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1795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7.449,25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Feijão de corda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Feijão de corda / fradinho / macáçar, tipo 1, limpo. Industrializado. Rotulagem em conformidade à legislação vigente. Deverá apresentar validade mínima de 04 meses a partir da data de entrega. Embalagem com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1800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1800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6,05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10.890,00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Feijão preto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898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6,14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5.513,72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Milho em conserva tipo 1 (Unidade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Lata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18</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16,01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4.546,84</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8</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38.474,86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09: CAMPI PETROLINA/OURICURI/SALGUEIRO – Massas Alimentícias, Macarrão e Biscoitos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69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Biscoito tipo 1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27.051,25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Biscoito tipo 2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23.173,60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Biscoito tipo 3 (Caixa com 20 pacotes)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embalagem integra, de boa qualidade. Caixa c/ 20 pct de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com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85,95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7.391,70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1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4189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4189</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10.137,38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2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p>
            <w:pPr>
              <w:pStyle w:val="Contedodatabela"/>
              <w:jc w:val="center"/>
              <w:rPr>
                <w:rFonts w:ascii="Arial" w:hAnsi="Arial"/>
                <w:b/>
                <w:b/>
                <w:bCs/>
                <w:sz w:val="16"/>
                <w:szCs w:val="16"/>
              </w:rPr>
            </w:pPr>
            <w:r>
              <w:rPr>
                <w:rFonts w:ascii="Arial" w:hAnsi="Arial"/>
                <w:b/>
                <w:bCs/>
                <w:sz w:val="16"/>
                <w:szCs w:val="16"/>
              </w:rPr>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2.959,44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3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curto com ovos, tipo parafuso, submetido a processo de secagem, acondicionado em embalagens apropriadas. Rotulagem conforme legislação vigente. Prazo de validade mínimo 06 meses a contar a partir da data de entrega.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4189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4189</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3,70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15.499,30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4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4,94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4.129,84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5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Penne. Massa com ovos, pacote de 500g. Padrão superior. Prazo de validade mínimo 06 meses a contar a partir da data de entrega. Rotulagem conforme legislação vigente.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2094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2094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9.674,28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6 (Pacote com 500g)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Macarrão tipo Penne. Massa integral, pacote de 500g. Padrão superior. Prazo de validade mínimo 06 meses a contar a partir da data de entrega. Rotulagem conforme legislação vigente.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5,68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4.748,48</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9</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104.765,27</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848"/>
        <w:gridCol w:w="563"/>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10: CAMPI PETROLINA/OURICURI/SALGUEIRO – Condimentos, Temperos e Molhos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Açafrão da terra/ Cúrcuma (Pacote com 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1.023,57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Canela em pó (Pote com 35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35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1292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1278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4.031,04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Colorau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5,38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597,18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Cominho em pó (Pacote com 30g)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30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718,08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Cravo (Pacote com 40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40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71</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8,65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787,15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Extrato de tomate (Pacote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353</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12,74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4.509,96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Louro em folhas (Pacote com 5g)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Condimento em folhas desidratadas. Validade mínima de 6 meses a partir da data de entrega . Pacote com 5 gramas.</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671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661</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1.301,74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Maionese (Unidade com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Maionese industrializada a base de leite, marca nacionalmente conhecida. Rotulagem de acordo com a legislação vigente. Deverá apresentar validade mínima de 6 meses a partir da data de entrega à unidade requisitante. Embalagem 1 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8,78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667,28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Manjericão (Pacote com 7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7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462,56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Molho de soja (Garrafa com 1 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Molho de Soja/Shoyu. Sem glutamato monossódico. Rotulagem de acordo com a legislação. Validade mínima de 12 meses a partir da data de entrega à unidade requisitante. Garrafa de 1L.</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Garrafa 1 litro</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14,29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2.515,04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Orégano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137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17,59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2.620,91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Pimenta do reino (Pacote com 15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15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913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3.003,77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 de cozinha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266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0,82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241,08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Salsa desidratada (Pacote com 250g)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250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170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8,56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1.652,08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Vinagre (Garrafa com 500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Garrafa 500 ml</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930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900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3.738,60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Cebola em pó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Cebola em pó pura (100% cebola). Embalagem com 1Kg.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41,17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82,34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Alho em pó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Alho em pó puro (100% alho). Embalagem com 1Kg.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42,30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84,60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Condimento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Condimento calabresa. Condimento para aplicação em linguiça calabresa e outros embutidos. Composição principal: Sal, aromas naturais e especiarias. Deve ter validade mínima de 10 meses a contar da data da entrega. Embalagens de 1kg.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28,88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57,76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Condimento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Condimento califórnia. Condimento preparado para presunto, com especiarias e sal. Aplicação em presuntos. Embalagem com 1Kg.</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 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24,47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48,94</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10</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28.143,68</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11: CAMPI PETROLINA/OURICURI/SALGUEIRO – Gêneros Secos</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Achocolatado em pó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1000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880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2.670,00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Achocolatado em pó diet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470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422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48</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8.319,00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99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Açúcar cristal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6284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5184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16.275,56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Açúcar demerara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96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88</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828,00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Adoçante (Unidade de 90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90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1.273,59</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Atum em conserva (Lata com 170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Atum ralado, conservado em óleo vegetal comestível. Rotulagem de acordo com a legislação. Validade mínima de 12 meses a contar a partir da data de entrega à unidade requisitante. Lata c/ 170g.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570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550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6,39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3.642,30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Azeite de oliva (Garrafa com 500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301</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6.579,26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Azeitonas (Balde com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Azeitonas verdes em conserva. Rotulagem de acordo com a legislação. Balde c/ 2kg.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36,74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955,24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Batata palha (Pacote com 500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762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15,68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11.948,16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Cacau em pó (Caixa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17,27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932,58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Café moído (Pacote com 250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3666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2216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800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650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20.089,68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Coco ralado (Pacote com 100g)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800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768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3.720,00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109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Creme de leite (Caixa com 200 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749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665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2.261,98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condensado (Embalagem com 395g)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395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1155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1061</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5.336,10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de coco (Unidade com 200ml)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558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538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2.003,22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em pó tipo 1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1686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1416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9.407,88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em pó tipo 2 (Pacote com 200g)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7032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6732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32.487,84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líquido (Caixa com 1 litro)</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Leite líquido semidesnatado, SEM LACTOSE. Rotulagem em conformidade à legislação vigente, com S.I.F. O produto deverá ter validade mínima de 06 meses a partir da data de entrega. Embalagem tipo tetra pack,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1995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1619</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370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9.296,70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Goiabada (Unidade)</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533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277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250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2.574,39</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Óleo vegetal de soja (Garrafa com 900 ml)</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1126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highlight w:val="yellow"/>
                <w:lang w:val="pt-BR" w:eastAsia="zh-CN" w:bidi="ar-SA"/>
              </w:rPr>
              <w:t>1076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highlight w:val="yellow"/>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highlight w:val="yellow"/>
                <w:lang w:val="pt-BR" w:eastAsia="zh-CN" w:bidi="ar-SA"/>
              </w:rPr>
              <w:t>30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4,44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4.999,44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parmesão (Pacote com 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627,80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Sardinha em conserva (Lata com 250g)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Lata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1197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8.630,37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119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Uva passa (Caixa com 10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Uva passa preta, sem semente. Rotulagem de acordo com a legislação vigente. Caixa com 10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Caixa 10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185,03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925,15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11</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155.784,24</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957"/>
        <w:gridCol w:w="2843"/>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12: CAMPI PETROLINA/OURICURI/SALGUEIRO – Agroindústria</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Coalho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Coalho líquido com enzima quimosina, poder coagulante 1:3000 embalagem de 200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10,57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84,56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Cloreto de cálcio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Cloreto de cálcio, líquido alimentício a 50%. Usado na elaboração de queijos.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10,19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50,95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lácteo tipo 1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61,37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184,11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lácteo tipo 2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lácteo termofílico para iogurte. Fermento lácteo termofílico concentrado liofilizado DVS com Lactobacilus bulgaricus e Streptococus thermophylus. Envelope para 500 litros de leite. Referência: CHR HANSEN.</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58,95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176,85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biológico tipo 1 (Pacote com 10 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Rotulagem de acordo com a legislação. Pacote de 10g.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10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401,20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biológico tipo 2 (Pacote de 500g )</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Embalagem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18,96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37,92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químico (Pote com 100g)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3,90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85,80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Melhorador de farinha (Pote com 150 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Melhorador de farinha em pasta para produção de pães. Pote com 150g. Referência ADIPASTA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Pote 150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3,93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58,95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Óleo emulsificante (Bisnaga com 100ml)</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Óleo emulsificante para produção de pães. Preparado para produtos de panificação com aspecto líquido oleoso bege, homogêneo, livre de matérias estranhas, odor e sabor característicos com padrão. Bisnaga com 100mL.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Bisnaga 100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8,63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129,45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129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Proteína texturizada de soja (Pacote com 400g)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856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846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4,67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3.997,52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Purê de batatas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28,63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10.077,76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catupiry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Queijo catupiry. Sachê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272,32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Vinho tinto (Garrafa com 750 ml)</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Vinho tinto seco, para preparações culinárias. Rotulagem de acordo com a legislação vigente. Garrafa com 750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Garrafa 750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18,35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220,20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Ameixa seca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10,41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312,30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Bicarbonato de sódio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Bicarbonato de sódio, embalagem de 100 g. Validade mínima de 10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8,16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tipo 1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Alimentício Líquido – Cor amarela.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tipo 2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Alimentício Líquido – Cor azul.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tipo 3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Alimentício Líquido – Cor lilás.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tipo 4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Alimentício Líquido – Cor verde. Com Registro no Ministério da Saúde conforme Resolução ANVISA nº 23 de 15 de março de 2000. Validade mínima de 12 meses a partir da data da entrega. Frascos de 10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139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tipo 5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Corante natural de Urucum líquido: Corante vegetal de urucum para fins alimentícios. Validade mínima de 6 meses a partir da data da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23,25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69,75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Polvilho azedo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Polvilho azedo – polvilho de mandioca. Validade mínima de 6 meses a partir da entrega. Deve conter na embalagem especificação do produto. Embalagem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11,91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285,84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Polvilho doce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Polvilho doce – polvilho de mandioca. Validade mínima de 6 meses a partir da entrega. Deve conter na embalagem especificação do produto. Embalagem de 500g.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11,08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265,92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Realçador de sabor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Realçador de sabor (glutamato monossódico) realça o sabor dos alimentos sem salgar. Validade mínima de 1 ano a partir da data de entrega. Frasco de 100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 de cura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Sal de cura (nitrito de sódio). Aplicação em produtos cárneos.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13,44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13,44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Ácido cítrico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Ácido Cítrico, uso alimentício, embalagem com 100 g. Validade mínima de 1 ano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16,61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298,98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Gelatina sem sabor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Gelatina em pó sem sabor, também conhecida como gelatina neutra. Embalagem de 1 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54,33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4.183,41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Glicose de milho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Glicose de milho, produto de origem vegetal, embalagem com 350 gramas,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350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14,23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113,84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Pectina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Pectina em pó, ideal para preparo de geleias. Validade mínima de 1 ano a partir da data de entrega. Pote de 50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13,57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678,50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Aroma tipo 1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Aroma líquido, sabor coco. Aplicação em iogurtes. Com registro no ministério da Saúde. Validade mínima de 10 meses a partir da data de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21,21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Aroma tipo 2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Aroma líquido, sabor morango. Aplicação em iogurtes. Com registro no ministério da Saúde. Validade mínima de 10 meses a partir da data de entrega. Embalagem de 1 litro.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21,21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Aroma tipo 3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30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4,49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4,49</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151</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Saborizante tipo 1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Saborizante para uso em iogurte – pó sabor abacaxi.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152</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Saborizante tipo 2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Saborizante para uso em iogurte – pó sabor ameixa preta.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153</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Saborizante tipo 3 (Kg)</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Saborizante para uso em iogurte – pó sabor morango. Validade mínima de 1 ano a partir da data de entrega. Deve conter na embalagem especificação do produto. Embalagem de 1Kg.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33,02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154</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Frutas cristalizadas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6,70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174,20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155</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Creme tipo Chantilly (Litro)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Creme tipo chantilly, Ideal para recheios e coberturas. Validade mínima de 6 meses a partir da data de entrega. Deve conter na embalagem especificação do produto. Embalagem de 1L.</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17,11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171,10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156</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Chocolate branco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Chocolate branco, tipo cobertura, apresentado em barra fracionada, sem necessidade de sofrer choque térmico ou temperagem. Destinada a produção de bombons, trufas, ovos de páscoa, sobremesas em geral. Barra de 1 kg, padrão Harald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27,78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444,48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157</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Chocolate meio amargo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75</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12</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31,30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3.036,10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158</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Tripa suína salgada (Maço)</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Tripa suína salgada calibre 28 a 32 mm, maço com 60 metros</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(60 metros)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59,95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1.258,95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159</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Cereja em calda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Cereja em calda. Embalagem de 100g.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9,19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156,23</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160</w:t>
            </w:r>
          </w:p>
        </w:tc>
        <w:tc>
          <w:tcPr>
            <w:tcW w:w="95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Chocolate em pó (Unidade)</w:t>
            </w:r>
          </w:p>
        </w:tc>
        <w:tc>
          <w:tcPr>
            <w:tcW w:w="284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16,05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321,00</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12</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27.792,46</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13: CAMPI PETROLINA/OURICURI/SALGUEIRO – Hortifruti</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Abacaxi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Abacaxi in natura (Ananas comosus), tamanho médio, com polpas firmes e intactas, coloração uniforme, grau de maturação madura.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2454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2414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10.135,02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Abóbora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2434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6.839,54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Abobrinha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603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1.929,60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Alface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459</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1.110,78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Alho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684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17,54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11.997,36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Banana da terra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704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3.262,98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Banana prata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9036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8996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28.192,32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Batata inglesa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8393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8378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3,84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32.229,12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169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Batata-doce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724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2.447,12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Berinjela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Berinjela. Coloração intensa e característica, sem defeitos, brilhantes e com polpa macia e firme.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04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Brócolis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1199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1197</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13,28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15.922,72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Cebolinha verde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440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949,50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Cebola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2455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2430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3,84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9.427,20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Cenoura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2436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8.209,32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Coentro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923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1.652,17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Chuchu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2427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2404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23</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7.353,81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Couve flor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609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9,09</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5.535,81</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Couve folha (Molhos)</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598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2,15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1.285,70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179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Goiaba vermelha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3042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3012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10.647,00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Laranja pêra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Laranja pêra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8.975,76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Limão taiti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604</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4,16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2.512,64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Maçã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3590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6,28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22.670,80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Mamão formosa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3610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3590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7.978,10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Mandioca com casca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3,25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97,50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Mandioca sem casca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5386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5386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5,07</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27.307,02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Manga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pPr>
            <w:r>
              <w:rPr>
                <w:rStyle w:val="Nfaseforte"/>
                <w:rFonts w:ascii="Arial" w:hAnsi="Arial"/>
                <w:b w:val="false"/>
                <w:bCs w:val="false"/>
                <w:sz w:val="16"/>
                <w:szCs w:val="16"/>
              </w:rPr>
              <w:t xml:space="preserve">Manga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3660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3650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3,11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11.382,60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Melancia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9006</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8976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12.968,64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Melão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2,44</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7.324,88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189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Milho verde em espiga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3750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3740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8.287,50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Pepino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3,36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60,48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Pimentão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689</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673</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4,26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2.935,14</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Repolho Branco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613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598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2.789,15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Repolho Roxo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Repolho Roxo, in natura, 1ª qualidade, tamanho grande, sem manchas ou partes murchas.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7,06</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105,90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Tangerina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Tangerina, tamanho médio, in natura.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3002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2992</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5,18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15.550,36</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Tomate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1561</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1516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30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4,02</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6.275,22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Vagem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8,11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121,65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13</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296.485,01</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2950"/>
        <w:gridCol w:w="789"/>
        <w:gridCol w:w="622"/>
        <w:gridCol w:w="847"/>
        <w:gridCol w:w="801"/>
        <w:gridCol w:w="848"/>
        <w:gridCol w:w="967"/>
        <w:gridCol w:w="1"/>
        <w:gridCol w:w="1087"/>
      </w:tblGrid>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14: CAMPI PETROLINA/OURICURI/SALGUEIRO – Polpas de Fruta</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Ouricuri</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1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2270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11,18</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25.378,60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2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1512</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10,40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15.724,80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199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3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2270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15</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11,10</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25.197,00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4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1507</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1496</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13,01</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19.606,07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5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2255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11,65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26.270,75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202</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6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2255</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2244</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11</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15,73</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35.471,15</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203</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tipo 7 (Kg)</w:t>
            </w:r>
          </w:p>
        </w:tc>
        <w:tc>
          <w:tcPr>
            <w:tcW w:w="29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78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753</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748</w:t>
            </w:r>
          </w:p>
        </w:tc>
        <w:tc>
          <w:tcPr>
            <w:tcW w:w="80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eastAsia="Calibri" w:cs="Calibri"/>
                <w:color w:val="00000A"/>
                <w:sz w:val="16"/>
                <w:szCs w:val="16"/>
                <w:lang w:val="pt-BR" w:eastAsia="zh-CN" w:bidi="ar-SA"/>
              </w:rPr>
            </w:pPr>
            <w:r>
              <w:rPr>
                <w:rFonts w:eastAsia="Calibri" w:cs="Calibri" w:ascii="Arial" w:hAnsi="Arial"/>
                <w:color w:val="00000A"/>
                <w:sz w:val="16"/>
                <w:szCs w:val="16"/>
                <w:lang w:val="pt-BR" w:eastAsia="zh-CN" w:bidi="ar-SA"/>
              </w:rPr>
              <w:t>5</w:t>
            </w:r>
          </w:p>
        </w:tc>
        <w:tc>
          <w:tcPr>
            <w:tcW w:w="96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12,85</w:t>
            </w:r>
          </w:p>
        </w:tc>
        <w:tc>
          <w:tcPr>
            <w:tcW w:w="108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9.676,05</w:t>
            </w:r>
          </w:p>
        </w:tc>
      </w:tr>
      <w:tr>
        <w:trPr/>
        <w:tc>
          <w:tcPr>
            <w:tcW w:w="9187"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14</w:t>
            </w:r>
          </w:p>
        </w:tc>
        <w:tc>
          <w:tcPr>
            <w:tcW w:w="108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157.324,42</w:t>
            </w:r>
          </w:p>
        </w:tc>
      </w:tr>
      <w:tr>
        <w:trPr/>
        <w:tc>
          <w:tcPr>
            <w:tcW w:w="10274" w:type="dxa"/>
            <w:gridSpan w:val="11"/>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Rua Maria Luiza de Araújo Gomes Cabral, 791, João de Deus,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75" w:type="dxa"/>
        <w:jc w:val="left"/>
        <w:tblInd w:w="-14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2"/>
        <w:gridCol w:w="850"/>
        <w:gridCol w:w="3453"/>
        <w:gridCol w:w="799"/>
        <w:gridCol w:w="563"/>
        <w:gridCol w:w="908"/>
        <w:gridCol w:w="848"/>
        <w:gridCol w:w="1076"/>
        <w:gridCol w:w="1"/>
        <w:gridCol w:w="1264"/>
      </w:tblGrid>
      <w:tr>
        <w:trPr/>
        <w:tc>
          <w:tcPr>
            <w:tcW w:w="10274"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numPr>
                <w:ilvl w:val="0"/>
                <w:numId w:val="1"/>
              </w:numPr>
              <w:spacing w:lineRule="auto" w:line="240" w:before="0" w:after="0"/>
              <w:jc w:val="center"/>
              <w:textAlignment w:val="center"/>
              <w:rPr>
                <w:rFonts w:ascii="Arial" w:hAnsi="Arial"/>
                <w:b/>
                <w:b/>
                <w:bCs/>
                <w:sz w:val="16"/>
                <w:szCs w:val="16"/>
              </w:rPr>
            </w:pPr>
            <w:r>
              <w:rPr>
                <w:rFonts w:ascii="Arial" w:hAnsi="Arial"/>
                <w:b/>
                <w:bCs/>
                <w:sz w:val="16"/>
                <w:szCs w:val="16"/>
              </w:rPr>
              <w:t>GRUPO 15: CAMPI PETROLINA/SALGUEIRO – Padaria</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Petrolina</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Salgueiro</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 Unitário</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204</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bacia tipo 1 (Pacote com 10 unidades)</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Bacia: Bolo de trigo, em formas individuais, sem recheio nem coberturas, pesando entre 180g-220g cada. Empacotado em embalagem plástica contendo 10 unidades. Deve conter em sua embalagem a data de fabricação e de validade.</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1496</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1496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17,25</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25.806,00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205</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bacia tipo 2 (Pacote com 10 unidades)</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Bacia: Bolo de trigo INTEGRAL, em forma individuas , sem recheio nem coberturas, pesando entre 180g-220g cada. Empacotado em embalagem plástica contendo 10 unidades. Deve conter em sua embalagem a data de fabricação e de validade.</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598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598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30,60</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18.298,80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206</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Torradas simples (Pacote com 500g)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Torrada simples, de pão dormido Tipo Francês ou Tabica. Embalagem plástica de 500g, contendo data de fabricação e validade. Validade mínima de 10 dias a contar da data de entrega.</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901</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898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7,17</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6.460,17</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207</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Pão de forma tipo 1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Pão de forma integral fatiado verticalmente isento de gordura trans.-acondicionado em pacotes com aproximadamente 500 gramas.-fatiado verticalmente com aproximadamente 25 gramas cada.-embalagens com aproximadamente 20 fatias</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898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898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7,26</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6.519,48</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208</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Pão de forma tipo 2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Pão de forma fatiado verticalmente isento de gordura trans.-acondicionado em pacotes com aproximadamente 500 gramas.-fatiado verticalmente com aproximadamente 25 gramas cada.-embalagens com aproximadamente 20 fatias</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500 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1496</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1496</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6,15</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9.200,40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209</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Pão de cachorro quente (Pacote)</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Pacote com 10</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7480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7480</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4,55</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34.034,00</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210</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de milho (Kg)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de milho, novo, contendo data de validade e de fabricação. Embalado individualmente com plástico filme. A unidade deve variar de 2 a 4 kg</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748</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748</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19,19</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14.354,12</w:t>
            </w:r>
          </w:p>
        </w:tc>
      </w:tr>
      <w:tr>
        <w:trPr/>
        <w:tc>
          <w:tcPr>
            <w:tcW w:w="5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211</w:t>
            </w:r>
          </w:p>
        </w:tc>
        <w:tc>
          <w:tcPr>
            <w:tcW w:w="85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de cenoura (Kg)</w:t>
            </w:r>
          </w:p>
        </w:tc>
        <w:tc>
          <w:tcPr>
            <w:tcW w:w="345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both"/>
              <w:rPr>
                <w:rFonts w:ascii="Arial" w:hAnsi="Arial"/>
                <w:sz w:val="16"/>
                <w:szCs w:val="16"/>
              </w:rPr>
            </w:pPr>
            <w:r>
              <w:rPr>
                <w:rFonts w:ascii="Arial" w:hAnsi="Arial"/>
                <w:sz w:val="16"/>
                <w:szCs w:val="16"/>
              </w:rPr>
              <w:t>Bolo de cenoura, novo, Sem cobertura, contendo data de validade e de fabricação. Embalado individualmente com plástico filme. A unidade deve variar de 2 a 4 kg.</w:t>
            </w:r>
          </w:p>
        </w:tc>
        <w:tc>
          <w:tcPr>
            <w:tcW w:w="79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Kg</w:t>
            </w:r>
          </w:p>
        </w:tc>
        <w:tc>
          <w:tcPr>
            <w:tcW w:w="56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374</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374</w:t>
            </w:r>
          </w:p>
        </w:tc>
        <w:tc>
          <w:tcPr>
            <w:tcW w:w="8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0</w:t>
            </w:r>
          </w:p>
        </w:tc>
        <w:tc>
          <w:tcPr>
            <w:tcW w:w="107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18,89</w:t>
            </w:r>
          </w:p>
        </w:tc>
        <w:tc>
          <w:tcPr>
            <w:tcW w:w="126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7.064,86</w:t>
            </w:r>
          </w:p>
        </w:tc>
      </w:tr>
      <w:tr>
        <w:trPr/>
        <w:tc>
          <w:tcPr>
            <w:tcW w:w="9010"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15</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121.737,83</w:t>
            </w:r>
          </w:p>
        </w:tc>
      </w:tr>
      <w:tr>
        <w:trPr/>
        <w:tc>
          <w:tcPr>
            <w:tcW w:w="10274" w:type="dxa"/>
            <w:gridSpan w:val="10"/>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Petrolina)</w:t>
            </w:r>
          </w:p>
          <w:p>
            <w:pPr>
              <w:pStyle w:val="Normal"/>
              <w:spacing w:lineRule="auto" w:line="240" w:before="0" w:after="0"/>
              <w:jc w:val="both"/>
              <w:rPr>
                <w:rFonts w:ascii="Arial" w:hAnsi="Arial"/>
                <w:b w:val="false"/>
                <w:b w:val="false"/>
                <w:bCs w:val="false"/>
                <w:iCs/>
                <w:color w:val="00000A"/>
                <w:sz w:val="16"/>
                <w:szCs w:val="16"/>
              </w:rPr>
            </w:pPr>
            <w:r>
              <w:rPr>
                <w:rFonts w:ascii="Arial" w:hAnsi="Arial"/>
                <w:b w:val="false"/>
                <w:bCs w:val="false"/>
                <w:iCs/>
                <w:color w:val="00000A"/>
                <w:sz w:val="16"/>
                <w:szCs w:val="16"/>
              </w:rPr>
              <w:t>Rua Maria Luiza de Araújo Gomes Cabral, 791, João de Deus, Petrolina/PE.</w:t>
            </w:r>
          </w:p>
        </w:tc>
      </w:tr>
      <w:tr>
        <w:trPr/>
        <w:tc>
          <w:tcPr>
            <w:tcW w:w="9010" w:type="dxa"/>
            <w:gridSpan w:val="9"/>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os grupos 02 a 15</w:t>
            </w:r>
          </w:p>
        </w:tc>
        <w:tc>
          <w:tcPr>
            <w:tcW w:w="12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vAlign w:val="center"/>
          </w:tcPr>
          <w:p>
            <w:pPr>
              <w:pStyle w:val="Normal"/>
              <w:spacing w:before="0" w:after="200"/>
              <w:jc w:val="center"/>
              <w:rPr>
                <w:rFonts w:ascii="Arial" w:hAnsi="Arial"/>
                <w:b/>
                <w:b/>
                <w:bCs/>
                <w:sz w:val="16"/>
                <w:szCs w:val="16"/>
              </w:rPr>
            </w:pPr>
            <w:r>
              <w:rPr>
                <w:rFonts w:ascii="Arial" w:hAnsi="Arial"/>
                <w:b/>
                <w:bCs/>
                <w:sz w:val="16"/>
                <w:szCs w:val="16"/>
              </w:rPr>
              <w:t>2.170.031,48</w:t>
            </w:r>
          </w:p>
        </w:tc>
      </w:tr>
    </w:tbl>
    <w:p>
      <w:pPr>
        <w:pStyle w:val="Corpodetexto"/>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16: CAMPUS PET. ZONA RURAL – Proteína Animal Bovina, Frango e Peixe</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8.636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22,38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193.273,68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405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20,76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8.407,80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3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6.915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18,98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131.246,70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4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MOÍDA, de primeira qualidade, PALETA.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400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18,93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7.572,00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Fígado bovino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1.347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10,01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13.483,47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charque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492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24,70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12.152,40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Coxa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5.069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9,24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46.837,56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219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Filé de peito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6.133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12,02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73.718,66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220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Peito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10,41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208,20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221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Sobrecoxa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Sobrecoxas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1.109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10,12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11.223,08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222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Filé de peixe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7.856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186.030,08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sz w:val="14"/>
                <w:szCs w:val="14"/>
              </w:rPr>
            </w:pPr>
            <w:r>
              <w:rPr>
                <w:rFonts w:ascii="Arial" w:hAnsi="Arial"/>
                <w:sz w:val="14"/>
                <w:szCs w:val="14"/>
              </w:rPr>
              <w:t>223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Filé de peixe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420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33,12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13.910,40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4"/>
                <w:szCs w:val="14"/>
              </w:rPr>
            </w:pPr>
            <w:r>
              <w:rPr>
                <w:rFonts w:ascii="Arial" w:hAnsi="Arial"/>
                <w:b/>
                <w:bCs/>
                <w:sz w:val="14"/>
                <w:szCs w:val="14"/>
              </w:rPr>
              <w:t>VALOR TOTAL ESTIMADO PARA O GRUPO 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4"/>
                <w:szCs w:val="14"/>
              </w:rPr>
            </w:pPr>
            <w:r>
              <w:rPr>
                <w:rFonts w:ascii="Arial" w:hAnsi="Arial"/>
                <w:b/>
                <w:bCs/>
                <w:sz w:val="14"/>
                <w:szCs w:val="14"/>
              </w:rPr>
              <w:t>698.064,03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Contedodatabela"/>
              <w:spacing w:lineRule="auto" w:line="240" w:before="0" w:after="0"/>
              <w:rPr/>
            </w:pPr>
            <w:r>
              <w:rPr>
                <w:rStyle w:val="Fontepargpadro"/>
                <w:rFonts w:ascii="Arial" w:hAnsi="Arial"/>
                <w:iCs/>
                <w:sz w:val="16"/>
                <w:szCs w:val="16"/>
              </w:rPr>
              <w:t>Rodovia BR 235, KM 22, Projeto Senador Nilo Coelho N4, Petrolina/PE.</w:t>
            </w:r>
          </w:p>
        </w:tc>
      </w:tr>
    </w:tbl>
    <w:p>
      <w:pPr>
        <w:pStyle w:val="Normal"/>
        <w:pageBreakBefore w:val="false"/>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17: CAMPUS PET. ZONA RURAL – Proteína Animal Suína e Caprina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Carne caprina/ovina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Carne CAPRINA/OVINA, de primeira qualidade. Corte Inteiro. Resfriada, limpa, não pegajosa, cor própria da carne, sem manchas esverdeadas ou pardas e cheiro característico do produto.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7.541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159.793,79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Paleta suína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Paleta Suína, com pele e sem osso, congelada. Produzida, embalada, rotulada e transportada em conformidade com as normas da legislação sanitária vigente. Deverá possuir registro no órgão oficial, Selo de Inspeção Estadual (S.I.E.) ou Selo de Inspeção Federal (S.I.F.). O produto deverá apresentar validade mínima de 03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511,56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Pernil suíno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Pernil Suíno com pele e sem osso.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584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8.468,00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Costela suína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Costela suína defumada. Produzida, embalada, rotulada e transportada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686,66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Bacon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Bacon defumado. Produzido, embalado, rotulado e transportado em conformidade com as normas da legislação sanitária vigente. Deverá possuir registro no órgão oficial, Selo de Inspeção municipal (S.I.M), Estadual (S.I.E.) ou Selo de Inspeção Federal (S.I.F.). O produto deverá apresentar validade mínima de 6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2.261,00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17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171.721,01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18: CAMPUS PET. ZONA RURAL – Frios e embutidos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229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calabresa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4.438,36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2.428,00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Mortadela de frango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933,00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Presunto cozido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5.049,44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Salsicha (Embalagem com 3kg)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Salsicha hot dog resfriada de frango. Validade mínima de 6 meses a partir da data de entrega no campus solicitante. Embalagem de 3kg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 03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27,56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551,20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18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13.400,00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19: CAMPUS PET. ZONA RURAL – Derivados de leite e ovos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tipo 1 (Pote com 170g)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6.380,00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tipo 2 (Garrafa com 900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4663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33.293,82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Manteiga (Balde com 05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158,96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29.566,56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Manteiga sem sal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Manteiga de primeira qualidade sem sal. Validade mínima de 6 meses a partir da data de entrega. Embalagem de 200g, com dados de identificação na embalagem</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177,12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Margarina tipo 3 (Balde com 15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MARGARINA. BALDE COM 15 Kg. Margarina vegetal com sal com 80% de lipídeos, de primeira qualidade, livre de oxidação (ranço) e homogênea. Deverá apresentar validade mínima de 06 (seis) meses a partir da data de entrega.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116,75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700,50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239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coalho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coalho - de 1ª qualidade, com leite pasteurizado, embalagem original a vácuo, em saco plástico transparente, atóxico, limpo, não violado, resistente. Deverá possuir registro no órgão oficial, Selo de Inspeção Municipal (S.I.M.), Selo de Inspeção Estadual (S.I.E.) ou Selo de Inspeção Federal (S.I.F.). O produto deverá apresentar validade mínima de 02 meses a partir da data de entrega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3.012,00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muçarela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640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27,53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17.619,20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Ovos (Bandeja com 30 unidades)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Bandeja com 30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1074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14.692,32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105.441,52</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20: CAMPUS PET. ZONA RURAL – Cereais e Farináceos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Amido de milho (Caixa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2.497,44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parboilizado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15422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47.653,98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Aveia (Caixa com 170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2.556,40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mandioca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Mandioca fina, branca, tipo 1. Industrializada. Rotulagem de acordo com a legislação. Data de validade mínima de 3 meses a contar da data de entrega do produto. Pacote com 01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1428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6.069,00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trigo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544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2.176,00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trigo tipo 2 (50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trigo especial, sem fermento, tipo 1, para produção de pães. Deverá apresentar validade mínima de 03 meses a partir da data de entrega. Saco com 50kg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Saco 50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149,35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2.538,95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milho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5350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9.148,50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249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para munguzá tipo 1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723,16</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73.363,43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21: CAMPUS PET. ZONA RURAL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1.068,00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diet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1.770,00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cristal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1804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4.672,36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demerara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883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3.973,50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Adoçante (Unidade de 90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Adoçante líquido dietético estévia Pura 90mL. Sem aspartame. Sem ciclamato. Sem Sacarina. Sem Acesulfame. Sem sucralose.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90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14,31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Atum em conserva (Lata com 170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Atum ralado, conservado em óleo vegetal comestível. Rotulagem de acordo com a legislação. Validade mínima de 12 meses a contar a partir da data de entrega à unidade requisitante. Lata c/ 170g.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6,39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11.412,54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Azeite de oliva (Garrafa com 500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Azeite de oliva extra virgem, com dispositivo que permita seu fechamento após abertura da embalagem. Nível de acidez 0,5%. Rotulagem em conformidade à legislação vigente. Deverá apresentar validade mínima de 12 meses a partir da data de entrega à unidade requisitante. Garrafa com 500mL.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831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17.467,62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Azeitonas (Balde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Azeitonas verdes em conserva. Rotulagem de acordo com a legislação. Balde c/ 2kg.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36,74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734,80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 palha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 palha, fina, sequinha e crocante.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químicas ou biológicas que coloquem em risco a saúde do consumidor. Ausência de sujidades, parasitas e larvas. Embalagem conforme legislação vigente. O produto deve ser isento de corantes. Pacote com 500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259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moído (Pacote com 250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1626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r>
          </w:p>
          <w:p>
            <w:pPr>
              <w:pStyle w:val="Contedodatabela"/>
              <w:jc w:val="center"/>
              <w:rPr>
                <w:rFonts w:ascii="Arial" w:hAnsi="Arial"/>
                <w:b/>
                <w:b/>
                <w:bCs/>
                <w:sz w:val="16"/>
                <w:szCs w:val="16"/>
              </w:rPr>
            </w:pPr>
            <w:r>
              <w:rPr>
                <w:rFonts w:ascii="Arial" w:hAnsi="Arial"/>
                <w:b/>
                <w:bCs/>
                <w:sz w:val="16"/>
                <w:szCs w:val="16"/>
              </w:rPr>
              <w:t>8.910,48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Coco ralado (Pacote com 100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1.395,00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Creme de leite (Caixa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854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2.579,08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Goiabada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Goiabada em massa, tipo de corte. Embalada potes plásticos resistentes, não amassados, não estufados, que garantam a integridade do produto, até o momento do consumo, contendo 400g,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4,83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condensado (Embalagem com 395g)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395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1.247,40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de coco (Unidade com 200ml)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728,77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tipo 1 (Pacote com 200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674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3.760,92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tipo 2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2968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13.712,16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líquido (Caixa com 1 litro)</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líquido semidesnatado, SEM LACTOSE. Rotulagem em conformidade à legislação vigente, com S.I.F. O produto deverá ter validade mínima de 06 meses a partir da data de entrega. Embalagem tipo tetra pack, de 1 litro.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01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1.873,32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Melhorador de farinha (Pote com 150g)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Melhorador de farinha em pasta para produção de pães. Pote com 150g. Referência ADIPASTA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94,32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269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Óleo vegetal de soja (Garrafa com 900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2068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9.181,92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Óleo emulsificante (Bisnaga com 100ml)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Óleo emulsificante para produção de pães. Preparado para produtos de panificação com aspecto líquido oleoso bege, homogêneo, livre de matérias estranhas, odor e sabor característicos com padrão. Bisnaga com 100mL.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207,12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Proteína texturizada de soja (Pacote com 400g)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7.196,47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Purê de batatas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Purê de batata instantâneo. Flocos de batata desidratada que quando hidratados resultam em um purê de textura macia. Marca nacionalmente conhecida. Rotulagem de acordo com a legislação vigente. Deverá apresentar validade mínima de 6 meses a partir da data de entrega à unidade requisitante. Unidade de fornecimento: Quilograma.</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28,63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23.247,56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parmesão (Pacote com 50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Uva passa (Caixa com 10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Uva passa preta, sem semente. Rotulagem de acordo com a legislação vigente. Caixa com 10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10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185,03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2.775,45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122.225,99</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22: CAMPUS PET. ZONA RURAL – Leguminosas e Oleaginosas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Amendoim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Castanha de caju (Pacote com 100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Sem casca ou lascas de cascas aderidas, inteira, sem sal, sem sujeiras, sem mofos, sem pontos de podridão, rígida, da melhor qualidade. Produzida, embalada e entregue conforme a legislação sanitária vigente. Validade mínima de 6 meses a contar da data de recebimento. Pacote com 100g.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10,85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2.170,00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Ervilha em conserva (Pacote com 2kg)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213,51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carioca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6998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29.041,70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279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de corda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de corda/fradinho/macáçar, tipo 1, limpo. Industrializado. Rotulagem em conformidade à legislação vigente. Deverá apresentar validade mínima de 04 meses a partir da data de entrega. Embalagem com 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5.505,50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preto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4049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24.860,86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em conserva tipo 1 (Unidade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2.081,30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em conserva tipo 2 (Unidade)</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verde em conserva. Produzidos, embalados, rotulados e transportados em conformidade com as normas da legislação sanitária vigente. Data de validade mínima de 6 meses a contar da data de entrega do produto à unidade requisitante. Embalagem de 200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58,60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64.836,47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rPr>
          <w:sz w:val="20"/>
          <w:szCs w:val="20"/>
        </w:rPr>
      </w:pPr>
      <w:r>
        <w:rPr>
          <w:sz w:val="20"/>
          <w:szCs w:val="20"/>
        </w:rPr>
      </w:r>
    </w:p>
    <w:p>
      <w:pPr>
        <w:pStyle w:val="Normal"/>
        <w:spacing w:lineRule="auto" w:line="240" w:before="0" w:after="0"/>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23: CAMPUS PET. ZONA RURAL – Massas Alimentícias, Macarrão e Biscoitos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tipo 1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807,50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tipo 2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1.535,60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tipo 3 (Caixa com 20 pacotes)</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embalagem integra, de boa qualidade. Caixa c/ 20 pct de 400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85,95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859,50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1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2.870,12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4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curto, INTEGRAL, com ovos, tipo parafuso, submetido a processo de secagem, acondicionado em embalagens apropriadas. Prazo de validade mínimo 06 meses a contar a partir da data de entrega. Rotulagem conforme legislação vigente. Pacote com 500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4,94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5 (Pacote com 500g)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Penne. Massa com ovos, pacote de 500 g. Padrão superior. Prazo de validade mínimo 06 meses a contar a partir da data de entrega. Rotulagem conforme legislação vigente.</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289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Massa Sêmola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Massa de Sêmola para lasanha. Rotulagem de acordo com a legislação vigente. Deverá apresentar validade mínima de 6 meses a partir da data de entrega à unidade requisitante. Pacote 500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5,93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2.994,65</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9.545,37</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766"/>
        <w:gridCol w:w="909"/>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24: CAMPUS PET. ZONA RURAL – Condimentos, Temperos e Molhos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Alecrim (Pacote com 30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Alecrim desidratado, com aplicação em culinária, isento de materiais estranhos a sua espécie acondicionado em saco plástico transparente atóxico, resistente e hermeticamente vedado. Pacote 30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Canela em pó (Pote com 35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35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658,32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Colorau (Pacote com 500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1159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6.235,42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Cominho em pó (Pacote com 30g)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73,44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Cravo (Pacote com 40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Cravo da índia, com aplicação em culinária, isento de materiais estranhos a sua espécie, acondicionado em saco plástico transparente atóxico, resistente e hermeticamente vedado. Rotulagem de acordo com a legislação. Data de validade mínima de 6 meses a contar da data de entrega do produto. Pacote 40g.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40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501,70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Extrato de tomate (Pacote com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12,74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9.223,76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Louro em folhas (Pacote com 5g)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pPr>
            <w:r>
              <w:rPr>
                <w:rStyle w:val="Nfaseforte"/>
                <w:rFonts w:ascii="Arial" w:hAnsi="Arial"/>
                <w:b w:val="false"/>
                <w:bCs w:val="false"/>
                <w:sz w:val="16"/>
                <w:szCs w:val="16"/>
              </w:rPr>
              <w:t xml:space="preserve">Louro em folhas </w:t>
            </w:r>
            <w:r>
              <w:rPr>
                <w:rStyle w:val="Fontepargpadro"/>
                <w:rFonts w:ascii="Arial" w:hAnsi="Arial"/>
                <w:sz w:val="16"/>
                <w:szCs w:val="16"/>
              </w:rPr>
              <w:t>Condimento em folhas desidratadas. Validade mínima de 6 meses a partir da data de entrega . Pacote com 5 gramas.</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Maionese (Unidade com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Maionese industrializada a base de leite, marca nacionalmente conhecida. Rotulagem de acordo com a legislação vigente. Deverá apresentar validade mínima de 6 meses a partir da data de entrega à unidade requisitante. Embalagem 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c/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8,78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175,60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Manjericão (Pacote com 7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Manjericão desidratado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7g.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7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483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946,68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299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Molho de soja (Garrafa com 1 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Molho de Soja/Shoyu. Sem glutamato monossódico. Rotulagem de acordo com a legislação. Validade mínima de 12 meses a partir da data de entrega à unidade requisitante. Garrafa de 1L.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de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3.915,46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Orégano (Pacote com 200g)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1.442,38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Pimenta do reino (Pacote com 15 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Pimenta do reino em pó, pura,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com 15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2.395,12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 de cozinha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1801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0,82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1.476,82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Salsa desidratada (Pacote com 250g)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Salsa desidratada, industrializada, com aplicação em culinária, isento de materiais estranhos a sua espécie, acondicionado em saco plástico transparente atóxico, resistente e hermeticamente vedado. Rotulagem de acordo com a legislação vigente. Deverá apresentar validade mínima de 6 meses a partir da data de entrega à unidade requisitante. Pacote c/ 250 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8,56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1.172,72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Vinagre (Garrafa com 500 ml)</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3.469,26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Cebola em pó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pPr>
            <w:r>
              <w:rPr>
                <w:rStyle w:val="Nfaseforte"/>
                <w:rFonts w:ascii="Arial" w:hAnsi="Arial"/>
                <w:b w:val="false"/>
                <w:bCs w:val="false"/>
                <w:sz w:val="16"/>
                <w:szCs w:val="16"/>
              </w:rPr>
              <w:t xml:space="preserve">Cebola em pó : </w:t>
            </w:r>
            <w:r>
              <w:rPr>
                <w:rStyle w:val="Fontepargpadro"/>
                <w:rFonts w:ascii="Arial" w:hAnsi="Arial"/>
                <w:sz w:val="16"/>
                <w:szCs w:val="16"/>
              </w:rPr>
              <w:t>Cebola em pó pura (100% cebola). Embalagem com 1Kg.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41,17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1.399,78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Alho em pó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Alho em pó puro (100% alho). Embalagem com 1Kg.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42,30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1.438,20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Condimento tipo 1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Condimento calabresa. Condimento para aplicação em linguiça calabresa e outros embutidos. Composição principal: Sal, aromas naturais e especiarias. Deve ter validade mínima de 10 meses a contar da data da entrega. Embalagens de 1kg.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28,88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28,88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Condimento tipo 2 (Kg)</w:t>
            </w:r>
          </w:p>
        </w:tc>
        <w:tc>
          <w:tcPr>
            <w:tcW w:w="476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Condimento califórnia. Condimento preparado para presunto, com especiarias e sal. Aplicação em presuntos. Embalagem com 1Kg.</w:t>
            </w:r>
          </w:p>
        </w:tc>
        <w:tc>
          <w:tcPr>
            <w:tcW w:w="9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24,47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24,47</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34.816,61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25: CAMPUS PET. ZONA RURAL – Agroindústria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309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Cacau em pó (Caixa com 200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Cacau em pó solúvel – 100% Cacau. Produto sem adição de açúcar e sem sódio. Embalagem interna de papel e externa de caixa. Rotulagem em conformidade à legislação vigente. Validade mínima de 6 meses a partir da data de entrega. Caixa com 200g.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17,27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34,54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biológico tipo 2 (Pacote de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biológico seco, instantâneo – Células de leveduras Sacharomyces cereviseae e monoestereato de sorbitana. Não necessita ser dissolvido e não necessita de refrigeração. Embalagem de 500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303,36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químico (Pote com 100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Vinho tinto (Garrafa com 750 ml)</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Vinho tinto seco, para preparações culinárias. Rotulagem de acordo com a legislação vigente. Garrafa com 750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750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Ameixa seca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Ameixa, seca, sem caroço de 1ª qualidade, acondicionada em embalagem original de fábrica. Isenta de fungos ou parasitas, livre de umidade e de fragmentos estranhos.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Bicarbonato de sódio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Bicarbonato de sódio, embalagem de 100 g. Validade mínima de 10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81,60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tipo 1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Alimentício Líquido – Cor amarela. Com Registro no Ministério da Saúde conforme Resolução ANVISA nº 23 de 15 de março de 2000. Validade mínima de 12 meses a partir da data da entrega. Frascos de 10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tipo 2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Alimentício Líquido – Cor azul. Com Registro no Ministério da Saúde conforme Resolução ANVISA nº 23 de 15 de março de 2000. Validade mínima de 12 meses a partir da data da entrega. Frascos de 10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tipo 3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Alimentício Líquido – Cor lilás. Com Registro no Ministério da Saúde conforme Resolução ANVISA nº 23 de 15 de março de 2000. Validade mínima de 12 meses a partir da data da entrega. Frascos de 10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tipo 4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Alimentício Líquido – Cor verde. Com Registro no Ministério da Saúde conforme Resolução ANVISA nº 23 de 15 de março de 2000. Validade mínima de 12 meses a partir da data da entrega. Frascos de 10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Frasco 10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319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tipo 5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Corante natural de Urucum líquido: Corante vegetal de urucum para fins alimentícios. Validade mínima de 6 meses a partir da data da entrega. Embalagem de 1 litro.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 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Polvilho azedo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Polvilho azedo – polvilho de mandioca. Validade mínima de 6 meses a partir da entrega. Deve conter na embalagem especificação do produto. Embalagem de 500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11,91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786,06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Realçador de sabor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Realçador de sabor (glutamato monossódico) realça o sabor dos alimentos sem salgar. Validade mínima de 1 ano a partir da data de entrega. Frasco de 100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Frasco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 de cura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 de cura (nitrito de sódio). Aplicação em produtos cárneos. Embalagem de 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13,44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Ácido cítrico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Ácido Cítrico, uso alimentício, embalagem com 100 g. Validade mínima de 1 ano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16,61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66,44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Gelatina sem sabor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Gelatina em pó sem sabor, também conhecida como gelatina neutra. Embalagem de 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 1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54,33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54,33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Glicose de milho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Glicose de milho, produto de origem vegetal, embalagem com 350 gramas,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350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14,23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42,69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Pectina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Pectina em pó, ideal para preparo de geleias. Validade mínima de 1 ano a partir da data de entrega. Pote de 50g.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13,57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271,40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Aroma tipo 1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Aroma líquido, sabor coco. Aplicação em iogurtes. Com registro no ministério da Saúde. Validade mínima de 10 meses a partir da data de entrega. Embalagem de 1 litro.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127,26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Aroma tipo 2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Aroma líquido, sabor morango. Aplicação em iogurtes. Com registro no ministério da Saúde. Validade mínima de 10 meses a partir da data de entrega. Embalagem de 1 litro.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127,26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329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Aroma tipo 3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Essência líquida para panetone. Deve ser límpida e homogênea. A rotulagem deve conter identificação, procedência, informações nutricionais, número de lote e data de validade. Validade mínima de 6 meses a partir da data da entrega no Campus. Frasco de 30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Frasco 30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112,25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Saborizante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Saborizante para uso em iogurte – pó sabor abacaxi. Validade mínima de 1 ano a partir da data de entrega. Deve conter na embalagem especificação do produto. Embalagem de 1Kg.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Saborizante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Saborizante para uso em iogurte – pó sabor ameixa preta. Validade mínima de 1 ano a partir da data de entrega. Deve conter na embalagem especificação do produto. Embalagem de 1Kg.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Saborizante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Saborizante para uso em iogurte – pó sabor morango. Validade mínima de 1 ano a partir da data de entrega. Deve conter na embalagem especificação do produto. Embalagem de 1Kg.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198,12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Frutas cristalizadas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Formado por mistura de mamão, laranja, figo e abacaxi no caso de misturas de frutas, em que não haja predominância significativa de nenhuma delas (em peso). Embalagem apresentando externamente dados de identificação, procedência, informações nutricionais, número de lote data de validade, quantidade do produto, e número do registro no Ministério da Agricultura. Data de validade mínima de 6 meses a contar da data de entrega do produto. Embalagem de 250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Embalagem</w:t>
            </w:r>
          </w:p>
          <w:p>
            <w:pPr>
              <w:pStyle w:val="Contedodatabela"/>
              <w:jc w:val="center"/>
              <w:rPr>
                <w:rFonts w:ascii="Arial" w:hAnsi="Arial"/>
                <w:b/>
                <w:b/>
                <w:bCs/>
                <w:sz w:val="16"/>
                <w:szCs w:val="16"/>
              </w:rPr>
            </w:pPr>
            <w:r>
              <w:rPr>
                <w:rFonts w:ascii="Arial" w:hAnsi="Arial"/>
                <w:b/>
                <w:bCs/>
                <w:sz w:val="16"/>
                <w:szCs w:val="16"/>
              </w:rPr>
              <w:t>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710,20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Creme tipo Chantilly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Creme tipo chantilly, Ideal para recheios e coberturas. Validade mínima de 6 meses a partir da data de entrega. Deve conter na embalagem especificação do produto. Embalagem de 1L.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17,11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410,64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branco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branco, tipo cobertura, apresentado em barra fracionada, sem necessidade de sofrer choque térmico ou temperagem. Destinada a produção de bombons, trufas, ovos de páscoa, sobremesas em geral. Barra de 1 kg, padrão Harald ou superior.</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27,78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222,24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meio amargo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meio amargo, tipo cobertura, apresentado em barra fracionada, sem necessidade de sofrer choque térmico ou temperagem. Destinada a produção de bombons, trufas, ovos de páscoa, sobremesas em geral. Barra de 1 kg, padrão Harald ou superior.</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Tripa suína salgada (Maço)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Tripa suína salgada calibre 28 a 32 mm, maço com 60 metros</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60 metros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59,95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119,90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Cereja em calda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Cereja em calda. Embalagem de 100g.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183,80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339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em pó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16,05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449,40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Cloreto de cálcio (Litro)</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Cloreto de cálcio, líquido alimentício a 50%. Usado na elaboração de queijos. Embalagem de 1 litro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Litro</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101,90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catupiry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catupiry. Sachê de 500g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442,52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lácteo tipo 1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lácteo mesofílico liofilizado. Fermento liofilizado DVS com cepas de Streptococus thermophilus, Lactobacilus lactis subsp. Lactis e/ou Lactococcus lactis subsp. Cremoris. Aplicação em queijos. Envelope para 500L de leite. Referência: CHR HANSEN ou superior</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61,37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736,44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lácteo tipo 2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lácteo termofílico para iogurte. Fermento lácteo termofílico concentrado liofilizado DVS com Lactobacilus bulgaricus e Streptococus thermophylus. Envelope para 500 litros de leite. Referência: CHR HANSEN.</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58,95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707,40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Coalho (Unidade)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Coalho líquido com enzima quimosina, poder coagulante 1:3000 embalagem de 200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10,57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359,38</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9.001,91</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26: CAMPUS PET. ZONA RURAL – Hortifruti</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Abacaxi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Abacaxi in natura (Ananas comosus), tamanho médio, com polpas firmes e intactas, coloração uniforme, grau de maturação madura.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679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2.804,27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r>
          </w:p>
          <w:p>
            <w:pPr>
              <w:pStyle w:val="Contedodatabela"/>
              <w:jc w:val="center"/>
              <w:rPr>
                <w:rFonts w:ascii="Arial" w:hAnsi="Arial"/>
                <w:sz w:val="16"/>
                <w:szCs w:val="16"/>
              </w:rPr>
            </w:pPr>
            <w:r>
              <w:rPr>
                <w:rFonts w:ascii="Arial" w:hAnsi="Arial"/>
                <w:sz w:val="16"/>
                <w:szCs w:val="16"/>
              </w:rPr>
              <w:t>346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Abóbora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5564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15.634,84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Abobrinha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803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2.569,60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Alface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13.881,12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349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Alho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689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17,54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12.085,06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da terra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228,50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prata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3021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9.425,52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 inglesa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2872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11.028,48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Batata-doce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2673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9.034,74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Berinjela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Berinjela. Coloração intensa e característica, sem defeitos, brilhantes e com polpa macia e firme.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2.095,10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Beterraba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Beterraba. Tamanho médio, produtos limpos, de boa qualidade, sem defeitos, suficientemente desenvolvidos com aspecto, aroma e sabor típicos da variedade e uniformidade no tamanho e na cor.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2.924,00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Brócolis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13,28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26.719,36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Cebolinha verde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1731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3.652,41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4035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15.494,40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359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Cenoura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922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3.107,14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Coentro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1741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3.116,39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 flor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1151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10.462,59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 folha (Molhos)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12.332,40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Goiaba vermelha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2899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10.146,50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Laranja pêra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Laranja pêra “in natura”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Limão taiti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Maçã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Mamão formosa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8520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18.829,20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com casca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2764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8.983,00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369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sem casca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152,10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Manga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pPr>
            <w:r>
              <w:rPr>
                <w:rStyle w:val="Nfaseforte"/>
                <w:rFonts w:ascii="Arial" w:hAnsi="Arial"/>
                <w:b w:val="false"/>
                <w:bCs w:val="false"/>
                <w:sz w:val="16"/>
                <w:szCs w:val="16"/>
              </w:rPr>
              <w:t xml:space="preserve">Manga: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Melancia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2566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3.695,04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Melão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9667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23.587,48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verde em espiga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2,21</w:t>
            </w:r>
          </w:p>
        </w:tc>
        <w:tc>
          <w:tcPr>
            <w:tcW w:w="1026" w:type="dxa"/>
            <w:tcBorders>
              <w:top w:val="single" w:sz="2" w:space="0" w:color="000080"/>
              <w:left w:val="single" w:sz="2" w:space="0" w:color="000080"/>
              <w:bottom w:val="single" w:sz="2" w:space="0" w:color="000080"/>
              <w:right w:val="single" w:sz="2" w:space="0" w:color="000080"/>
              <w:insideH w:val="single" w:sz="2" w:space="0" w:color="000080"/>
              <w:insideV w:val="single" w:sz="2" w:space="0" w:color="000080"/>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Morango (Embalagem de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Morango in natura, separada por lotes homogêneos, sem defeitos graves (podridão, danos profundos, frutos passados) sem manchas ou deformação. Embalagem de 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22,53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1.126,50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Pepino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1147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3.853,92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Pimentão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1.486,74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Quiabo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Quiabo, in natura, de 1ª qualidade, tenros,fresco, verde, de colheita recente, sem sinais de amarelamento, com grau de maturação adequada, isento de substâncias terrosas, sujidades e corpos estranhos.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1147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5.757,94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Repolho Branco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3.913,00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379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Tangerina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Tangerina, tamanho médio, in natura.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5,18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259,00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Tomate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3501</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14.074,02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Tomate Cereja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Tomate cereja, 1ª qualidade, sem machucados, sem furos, firmes. Maduro.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10,88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62.407,68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Vagem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8,11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16,22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316.087,26</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27: CAMPUS PET. ZONA RURAL – Polpas de Fruta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11,18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1.118,00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11,10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1.110,00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4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1.301,00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11,65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1.165,00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6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15,73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1.573,00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389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7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12,85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1.285,00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8.592,00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847"/>
        <w:gridCol w:w="1135"/>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ITEM 390 CAMPUS PET. ZONA RURAL – Padaria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390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Pão de cachorro quente (Pacote)</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com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1.000</w:t>
            </w:r>
          </w:p>
        </w:tc>
        <w:tc>
          <w:tcPr>
            <w:tcW w:w="8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4,55</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4.550,00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vAlign w:val="center"/>
          </w:tcPr>
          <w:p>
            <w:pPr>
              <w:pStyle w:val="Contedodatabela"/>
              <w:spacing w:lineRule="auto" w:line="240" w:before="0" w:after="0"/>
              <w:rPr/>
            </w:pPr>
            <w:r>
              <w:rPr>
                <w:rStyle w:val="Fontepargpadro"/>
                <w:rFonts w:ascii="Arial" w:hAnsi="Arial"/>
                <w:b/>
                <w:bCs/>
                <w:sz w:val="16"/>
                <w:szCs w:val="16"/>
              </w:rPr>
              <w:t xml:space="preserve">Local de Entrega: </w:t>
            </w:r>
            <w:r>
              <w:rPr>
                <w:rStyle w:val="Fontepargpadro"/>
                <w:rFonts w:ascii="Arial" w:hAnsi="Arial"/>
                <w:sz w:val="16"/>
                <w:szCs w:val="16"/>
              </w:rPr>
              <w:t>(Sede do Campus Pet. Zona Rural)</w:t>
            </w:r>
          </w:p>
          <w:p>
            <w:pPr>
              <w:pStyle w:val="Normal"/>
              <w:spacing w:lineRule="auto" w:line="240" w:before="0" w:after="0"/>
              <w:jc w:val="both"/>
              <w:rPr>
                <w:rFonts w:ascii="Arial" w:hAnsi="Arial"/>
                <w:iCs/>
                <w:color w:val="00000A"/>
                <w:sz w:val="16"/>
                <w:szCs w:val="16"/>
              </w:rPr>
            </w:pPr>
            <w:r>
              <w:rPr>
                <w:rFonts w:ascii="Arial" w:hAnsi="Arial"/>
                <w:iCs/>
                <w:color w:val="00000A"/>
                <w:sz w:val="16"/>
                <w:szCs w:val="16"/>
              </w:rPr>
              <w:t>Rodovia BR 235, KM 22, Projeto Senador Nilo Coelho N4, Petrolina/PE.</w:t>
            </w:r>
          </w:p>
        </w:tc>
      </w:tr>
      <w:tr>
        <w:trPr/>
        <w:tc>
          <w:tcPr>
            <w:tcW w:w="9127"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99FFCC" w:val="clear"/>
            <w:tcMar>
              <w:left w:w="49" w:type="dxa"/>
            </w:tcMar>
          </w:tcPr>
          <w:p>
            <w:pPr>
              <w:pStyle w:val="Contedodatabela"/>
              <w:jc w:val="center"/>
              <w:rPr>
                <w:rFonts w:ascii="Arial" w:hAnsi="Arial"/>
                <w:b/>
                <w:b/>
                <w:bCs/>
                <w:sz w:val="16"/>
                <w:szCs w:val="16"/>
              </w:rPr>
            </w:pPr>
            <w:r>
              <w:rPr>
                <w:rFonts w:ascii="Arial" w:hAnsi="Arial"/>
                <w:b/>
                <w:bCs/>
                <w:sz w:val="16"/>
                <w:szCs w:val="16"/>
              </w:rPr>
              <w:t>Total estimado para os grupos 16 a 27 e Item 390</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1.631.645,60</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28: CAMPUS FLORESTA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391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cristal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269,36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392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moído (Pacote com 250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2.279,68</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2.549,04</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Floresta)</w:t>
            </w:r>
          </w:p>
          <w:p>
            <w:pPr>
              <w:pStyle w:val="Normal"/>
              <w:bidi w:val="0"/>
              <w:spacing w:lineRule="auto" w:line="276" w:before="0" w:after="0"/>
              <w:ind w:left="0" w:right="0" w:hanging="0"/>
              <w:jc w:val="both"/>
              <w:rPr>
                <w:rFonts w:ascii="Open Sans" w:hAnsi="Open Sans" w:eastAsia="Calibri" w:cs="Calibri"/>
                <w:iCs/>
                <w:color w:val="00000A"/>
                <w:sz w:val="20"/>
                <w:szCs w:val="20"/>
                <w:lang w:val="pt-BR" w:eastAsia="zh-CN" w:bidi="ar-SA"/>
              </w:rPr>
            </w:pPr>
            <w:r>
              <w:rPr>
                <w:rStyle w:val="Fontepargpadro"/>
                <w:rFonts w:eastAsia="Calibri" w:cs="Calibri" w:ascii="Arial" w:hAnsi="Arial"/>
                <w:iCs/>
                <w:color w:val="00000A"/>
                <w:sz w:val="16"/>
                <w:szCs w:val="16"/>
                <w:lang w:val="pt-BR" w:eastAsia="zh-CN" w:bidi="ar-SA"/>
              </w:rPr>
              <w:t xml:space="preserve">Rua Projetada s/n, Caetano II, CEP 56400-000, Floresta/PE. </w:t>
            </w:r>
          </w:p>
        </w:tc>
      </w:tr>
    </w:tbl>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29: CAMPUS SANTA MARIA DA BOA VISTA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393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demerara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3.240,00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394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moído (Pacote com 250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3.945,60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29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00" w:val="clear"/>
            <w:tcMar>
              <w:left w:w="49" w:type="dxa"/>
            </w:tcMar>
          </w:tcPr>
          <w:p>
            <w:pPr>
              <w:pStyle w:val="Contedodatabela"/>
              <w:jc w:val="center"/>
              <w:rPr>
                <w:rFonts w:ascii="Arial" w:hAnsi="Arial"/>
                <w:b/>
                <w:b/>
                <w:bCs/>
                <w:sz w:val="16"/>
                <w:szCs w:val="16"/>
              </w:rPr>
            </w:pPr>
            <w:r>
              <w:rPr>
                <w:rFonts w:ascii="Arial" w:hAnsi="Arial"/>
                <w:b/>
                <w:bCs/>
                <w:sz w:val="16"/>
                <w:szCs w:val="16"/>
              </w:rPr>
              <w:t>7.185,60</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66CCFF"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Santa Maria da Boa Vista)</w:t>
            </w:r>
          </w:p>
          <w:p>
            <w:pPr>
              <w:pStyle w:val="Normal"/>
              <w:bidi w:val="0"/>
              <w:spacing w:lineRule="auto" w:line="276" w:before="0" w:after="0"/>
              <w:ind w:left="0" w:right="0" w:hanging="0"/>
              <w:jc w:val="both"/>
              <w:rPr>
                <w:rFonts w:ascii="Open Sans" w:hAnsi="Open Sans" w:eastAsia="Calibri" w:cs="Calibri"/>
                <w:iCs/>
                <w:color w:val="00000A"/>
                <w:sz w:val="20"/>
                <w:szCs w:val="20"/>
                <w:lang w:val="pt-BR" w:eastAsia="zh-CN" w:bidi="ar-SA"/>
              </w:rPr>
            </w:pPr>
            <w:r>
              <w:rPr>
                <w:rStyle w:val="Fontepargpadro"/>
                <w:rFonts w:eastAsia="Calibri" w:cs="Calibri" w:ascii="Arial" w:hAnsi="Arial"/>
                <w:iCs/>
                <w:color w:val="00000A"/>
                <w:sz w:val="16"/>
                <w:szCs w:val="16"/>
                <w:lang w:val="pt-BR" w:eastAsia="zh-CN" w:bidi="ar-SA"/>
              </w:rPr>
              <w:t>BR 428, Km 90, Zona Rural, Santa Maria da Boa Vista/PE.</w:t>
            </w:r>
          </w:p>
        </w:tc>
      </w:tr>
    </w:tbl>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4"/>
                <w:szCs w:val="14"/>
              </w:rPr>
              <w:t>GRUPO 30: CAMPUS SERRA TALHADA – Proteína Animal Bovina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4"/>
                <w:szCs w:val="14"/>
              </w:rPr>
            </w:pPr>
            <w:r>
              <w:rPr>
                <w:rFonts w:ascii="Arial" w:hAnsi="Arial"/>
                <w:b/>
                <w:bCs/>
                <w:sz w:val="14"/>
                <w:szCs w:val="14"/>
              </w:rPr>
              <w:t>Valor</w:t>
            </w:r>
          </w:p>
          <w:p>
            <w:pPr>
              <w:pStyle w:val="Contedodatabela"/>
              <w:spacing w:before="0" w:after="0"/>
              <w:jc w:val="center"/>
              <w:rPr>
                <w:rFonts w:ascii="Arial" w:hAnsi="Arial"/>
                <w:b/>
                <w:b/>
                <w:bCs/>
                <w:sz w:val="14"/>
                <w:szCs w:val="14"/>
              </w:rPr>
            </w:pPr>
            <w:r>
              <w:rPr>
                <w:rFonts w:ascii="Arial" w:hAnsi="Arial"/>
                <w:b/>
                <w:bCs/>
                <w:sz w:val="14"/>
                <w:szCs w:val="14"/>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395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de primeira qualidade, COXÃO MOLE. Corte inteiro.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1.364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22,38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30.526,32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396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de primeira qualidade, LAGARTO BOVINO.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1.600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20,76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33.216,00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397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bovina tipo 3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boi, de primeira qualidade, MÚSCULO. Resfriada, limpa, não pegajosa, cor própria da carne, sem manchas esverdeadas ou pardas e cheiro característico do produto. Produzidas, embaladas, rotuladas e transportadas em conformidade com as normas da legislação sanitária vigente. Deverá possuir registro no órgão oficial, Selo de Inspeção Municipal (S.I.M.), Selo de Inspeção Estadual (S.I.E.) ou Selo de Inspeção Federal (S.I.F.). O produto deve apresentar validade mínima de 40 dias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795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18,98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15.089,10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398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Fígado bovino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Fígado bovino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mínima de 08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300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10,01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3.003,00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4"/>
                <w:szCs w:val="14"/>
              </w:rPr>
            </w:pPr>
            <w:r>
              <w:rPr>
                <w:rFonts w:ascii="Arial" w:hAnsi="Arial"/>
                <w:sz w:val="14"/>
                <w:szCs w:val="14"/>
              </w:rPr>
              <w:t>399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Carne de charque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4"/>
                <w:szCs w:val="14"/>
              </w:rPr>
            </w:pPr>
            <w:r>
              <w:rPr>
                <w:rFonts w:ascii="Arial" w:hAnsi="Arial"/>
                <w:sz w:val="14"/>
                <w:szCs w:val="14"/>
              </w:rPr>
              <w:t>Charque traseira, tipo seca, bovina, resfriada, de primeira qualidade. Deverá possuir registro no órgão oficial, Selo de Inspeção Municipal (S.I.M.), Selo de Inspeção Estadual (S.I.E.) ou Selo de Inspeção Federal (S.I.F.). Embalada à vácuo. Produzida, embalada, rotulada e transportada em conformidade com as normas da legislação sanitária vigente. O produto deve apresentar validade mínima de 03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845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24,70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4"/>
                <w:szCs w:val="14"/>
              </w:rPr>
            </w:pPr>
            <w:r>
              <w:rPr>
                <w:rFonts w:ascii="Arial" w:hAnsi="Arial"/>
                <w:b/>
                <w:bCs/>
                <w:sz w:val="14"/>
                <w:szCs w:val="14"/>
              </w:rPr>
              <w:t>20.871,50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4"/>
                <w:szCs w:val="14"/>
              </w:rPr>
            </w:pPr>
            <w:r>
              <w:rPr>
                <w:rFonts w:ascii="Arial" w:hAnsi="Arial"/>
                <w:b/>
                <w:bCs/>
                <w:sz w:val="14"/>
                <w:szCs w:val="14"/>
              </w:rPr>
              <w:t>VALOR TOTAL ESTIMADO PARA O GRUPO 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4"/>
                <w:szCs w:val="14"/>
              </w:rPr>
            </w:pPr>
            <w:r>
              <w:rPr>
                <w:rFonts w:ascii="Arial" w:hAnsi="Arial"/>
                <w:b/>
                <w:bCs/>
                <w:sz w:val="14"/>
                <w:szCs w:val="14"/>
              </w:rPr>
              <w:t>102.705,92</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4"/>
                <w:szCs w:val="14"/>
              </w:rPr>
            </w:pPr>
            <w:r>
              <w:rPr>
                <w:rFonts w:eastAsia="Calibri" w:cs="Calibri" w:ascii="Arial" w:hAnsi="Arial"/>
                <w:b/>
                <w:bCs/>
                <w:iCs/>
                <w:color w:val="00000A"/>
                <w:sz w:val="14"/>
                <w:szCs w:val="14"/>
                <w:u w:val="none"/>
                <w:lang w:val="pt-BR" w:eastAsia="zh-CN" w:bidi="ar-SA"/>
              </w:rPr>
              <w:t xml:space="preserve">Local de Entrega: </w:t>
            </w:r>
            <w:r>
              <w:rPr>
                <w:rFonts w:eastAsia="Calibri" w:cs="Calibri" w:ascii="Arial" w:hAnsi="Arial"/>
                <w:b w:val="false"/>
                <w:bCs w:val="false"/>
                <w:iCs/>
                <w:color w:val="00000A"/>
                <w:sz w:val="14"/>
                <w:szCs w:val="14"/>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4"/>
                <w:szCs w:val="14"/>
                <w:lang w:val="pt-BR" w:eastAsia="zh-CN" w:bidi="ar-SA"/>
              </w:rPr>
              <w:t>PE 320, Km 126, Zona Rural – Serra Talhada/PE</w:t>
            </w:r>
          </w:p>
        </w:tc>
      </w:tr>
    </w:tbl>
    <w:p>
      <w:pPr>
        <w:pStyle w:val="Normal"/>
        <w:spacing w:lineRule="auto" w:line="240" w:before="0" w:after="0"/>
        <w:jc w:val="center"/>
        <w:rPr/>
      </w:pPr>
      <w:r>
        <w:rPr/>
      </w:r>
    </w:p>
    <w:p>
      <w:pPr>
        <w:pStyle w:val="Normal"/>
        <w:spacing w:lineRule="auto" w:line="240" w:before="0" w:after="0"/>
        <w:jc w:val="center"/>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31: CAMPUS SERRA TALHADA – Proteína Animal Alves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Coxa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Coxas de frango com osso, congeladas. Produzidas, embaladas, rotuladas e transportadas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 Peso aproximado de cada coxa igual a 130g.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2495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9,24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23.053,80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Filé de peito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Filé de peito de frango, sem pele, sem osso, congelado.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08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1368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12,02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16.443,36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Peito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Peito de Frango, congelado. Produzido, embalado, rotulado e transportado em conformidade com as normas da legislação sanitária vigente. Deverá possuir registro no órgão oficial, Selo de Inspeção Municipal (S.I.M.), Selo de Inspeção Estadual (S.I.E.) ou Selo de Inspeção Federal (S.I.F.). O produto deve apresentar validade minima de 08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1368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14.240,88</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53.738,04</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32: CAMPUS SERRA TALHADA – Proteína Animal Suína, Caprina e Peixes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Carne caprina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Carne caprina magra, LOMBO. Resfriada. Peças devidamente embaladas. Aspecto próprio da carne, não pegajosa, cor própria da carne, sem manchas esverdeadas ou pardas, cheiro próprio . Produzida, embalada, rotulada e transportada em conformidade com as normas da legislação sanitária vigente. Deverá possuir registro no órgão oficial, Selo de Inspeção Federal (S.I.F.) ou Selo de Inspeção Estadual (S.I.E.) ou Selo de Inspeção Municipal (S.I.M.). O produto deverá apresentar validade mínima de 40 dias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28,78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9.785,20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Filé de peixe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Filé de Peixe (Merlusa) congelado. Produzido, embalado, rotulado e transportado em conformidade com as normas da legislação sanitária vigente. Deverá possuir registro no órgão oficial, Selo de Inspeção Estadual (S.I.E.) ou Selo de Inspeção Federal (S.I.F.). O produto deve apresentar validade mínima de 08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4080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96.614,40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Filé de peixe tipo 2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Filé de Peixe (Tilápia) congelado. Produzido, embalado, rotulado e transportado em conformidade com as normas da legislação sanitária vigente. Deverá possuir registro no órgão oficial, Selo de Inspeção Federal (S.I.F.) ou Selo de Inspeção Estadual (S.I.E.) ou Selo de Inspeção Municipal (S.I.M.). O produto deve apresentar validade mínima de 08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676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33,12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22.389,12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32</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128.788,72</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33: CAMPUS SERRA TALHADA – Frios, Derivados de Leite, Embutidos e Ovos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tipo 1 (Pote com 170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integral, natural, obtido de leite pasteurizado, sem adição de polpa de frutas ou saborizantes, sem adição de açúcar, com consistência cremosa ou firme.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01 mês a partir da data de entrega unidade requisitante. Embalagem de aproximadamente 170g.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Pote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15.720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50.146,80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tipo 2 (Garrafa com 900 ml)</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Iogurte integral, sabor morango ou frutas vermelhas. NÃO PODE SER BEBIDA LÁCTEA NEM LEITE FERMENTADO. Produzido, embalado, rotulado e transportado em conformidade com as normas da legislação sanitária vigente. Embalado em frasco resistente, atóxico e inodoro. Deverá possuir registro no órgão oficial, Selo de Inspeção Municipal (S.I.M.), Selo de Inspeção Estadual (S.I.E.) ou Selo de Inspeção Federal (S.I.F.). O produto deverá apresentar validade mínima de 01 mês a partir da data de entrega à unidade requisitante. Garrafa de 900 mL.</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3.144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22.448,16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Manteiga (Balde com 05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MANTEIGA. BALDE COM 05 Kg. Manteiga de primeira qualidade, obtida do creme de leite (manteiga) padronizado, pasteurizado, com dados de identificação, data de fabricação e validade, lote, registro do Ministério da Agricultura. Ingredientes: Creme pasteurizado obtido a partir do leite da vaca, Cloreto de sódio até máximo de 2g/100g de manteiga. Livre de oxidação (ranço), nova, homogênea. Produzida, embalada, rotulada e transportada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158,96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6.199,44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409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Margarina tipo 1 (Balde com 15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Margarina. Balde com 15 Kg. Margarina vegetal com sal com 50% de lipídeos, de primeira qualidade, livre de oxidação (ranço), nova, homogênea. Produzidas, embaladas, rotuladas e transportadas em conformidade com as normas da legislação sanitária vigente. Deverá possuir registro no órgão oficial, Selo de Inspeção Estadual (S.I.E.) ou Selo de Inspeção Federal (S.I.F.). O produto deve apresentar validade mínima de 06 meses a partir da data de entrega à unidade requisitante. Embalagem lacrada. Balde com 15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15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109,50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766,50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muçarela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Muçarela (Peça inteira). Produto elaborado com leite de vaca. Produzido, embalado, rotulado e transportado em conformidade com as normas da legislação sanitária vigente. Deverá possuir registro no órgão oficial, Selo de Inspeção Municipal (S.I.M.), Selo de Inspeção Estadual (S.I.E.) ou Selo de Inspeção Federal (S.I.F.). O produto deverá apresentar validade mínima de 02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27,53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2.395,11</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calabresa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calabresa.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18,19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3.929,04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Linguiça de frango.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12,14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2.622,24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Mortadela de frango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Mortadela de frango, 1ªqualidade. Produzida, embalada, rotulada e transportada em conformidade com as normas da legislação sanitária vigente. Deverá possuir registro no órgão oficial, Selo de Inspeção Estadual (S.I.E.) ou Selo de Inspeção Federal (S.I.F.). O produto deve apresentar validade mínima de 03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802,38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Presunto cozido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Presunto cozido de Peru de marca nacionalmente conhecida, 1ª qualidade (Peça inteira). Produzido, embalado, rotulado e transportado em conformidade com as normas da legislação sanitária vigente. Deverá possuir registro no órgão oficial, Selo de Inspeção Estadual (S.I.E.) ou Selo de Inspeção Federal (S.I.F.). O produto deve apresentar validade mínima de 02 meses a partir da data de entrega à unidade requisitante. Embalagem lacrada.</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24,16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2.077,76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Ovos (Bandeja com 30 unidades)</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Ovos de galinha. Classe A, tipo grande, íntegro, sem manchas ou sujidades. Cor, odor e sabor normais. Acondicionados em embalagem apropriada. O produto deverá apresentar validade mínima de 20 (vinte) dias a partir da data de entrega à unidade requisitante. Produzidos, embalados, rotulados e transportados em conformidade com as normas da legislação sanitária vigente. Deverá possuir registro no órgão oficial, Selo de Inspeção Estadual (S.I.E.) ou Selo de Inspeção Federal (S.I.F.). Bandeja com 30 unidades.</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Bandeja com 30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1.030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13,68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14.090,40</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105.477,83</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648"/>
        <w:gridCol w:w="1027"/>
        <w:gridCol w:w="622"/>
        <w:gridCol w:w="956"/>
        <w:gridCol w:w="1026"/>
      </w:tblGrid>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34: CAMPUS SERRA TALHADA – Cereais e Farináceos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Amido de milho (Caixa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Amido de milho. Produto amiláceo, extraído do milho para uso como espessante e papas. Pó fino, branco e puro, livre de qualquer alteração de aroma e coloração. Rotulagem de acordo com a legislação. Validade mínima de 06 meses a partir da data de entrega à unidade requisitante. Caixa com 500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1.125,30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integral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INTEGRAL – características técnicas: classe: longo, fino, tipo I integral. O produto não deve apresentar mofo, substâncias nocivas, preparação final dietética inadequada (empapamento). Embalagem: deve estar intacta, acondicionada em pacotes de 1 kg, em polietileno, transparente, atóxico. Prazo de validade mínimo 06 meses a contar a partir da data de entrega. Pacote com 01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1.248,30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parboilizado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PARBOILIZADO, polido, tipo 1, limpo, industrializado, sem fios brancos característicos de infestação, sem contaminantes. Rotulagem de acordo com a legislação. Deverá apresentar validade mínima de 06 meses a partir da data de entrega. Pacote com 01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2285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7.060,65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419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vermelho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Arroz VERMELHO, limpo, longo, grãos inteiros, com teor de umidade máxima de 15%; isento de sujidades e materiais estranhos; acondicionado em saco plástico, validade mínima de 06 meses a contar da data da entrega, Embalagem de 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6,30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1.083,60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Aveia (Caixa com 170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Aveia em flocos finos. A embalagem interna deverá ser em pacotes plásticos transparentes , limpos e resistentes que garantam a integridade do produto até o momento do consumo, acondicionada em caixas lacradas. A rotulagem deverá obedecer a legislação vigente. Deverá apresentar validade mínima de 06 meses a partir da data de entrega à unidade requisitante. Caixa com 170 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170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694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2.880,10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rosca (Pacote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rosca industrializada, 1ª qualidade. Rotulagem de acordo com a legislação. Data de validade mínima de 2 meses a contar da data de entrega do produto. Pacote de 500g.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6,89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702,78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trigo tipo 1 (Kg)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trigo tradicional, sem fermento, tipo 1. Enriquecida com ferro e ácido fólico. Deverá apresentar validade mínima de 3 meses a partir da data de entrega. Embalagem de 1 kg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de milho (Pacote com 500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Farinha milho para CUSCUZ, apresentação flocos milho, tipo pré-cozida, boa qualidade, sem glúten. Características adicionais: sem sal. enriquecida com ferro e ácido fólico (vitamina B9). Rotulagem de acordo com a legislação vigente. Deverá apresentar validade mínima de 3 meses a partir da data de entrega. Pacotes de 500g.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1,71</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6.874,20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para munguzá tipo 1 (Pacote com 500g)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Canjica de milho amarelo (MUNGUZÁ), tipo 1, despeliculada, grupo especial. Milho para munguzá, amarelo, boa qualidade, sem fungos, sem sujidades, sem bolor, sem umidade. Deverá apresentar validade mínima de 4 meses a partir da data de entrega à unidade requisitante. Pacote com 500g.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1.124,12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Mistura para preparo de canjiquinha (Pacote com 400g)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Mistura para preparo de Canjiquinha / curau . Preparo rápido. Embalada em sacos de poliéster metalizados. Rotulagem em conformidade à legislação vigente. Prazo de validade mínimo 02 meses a contar a partir da data de entrega . Pacote com 400g.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7,13</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1.397,48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Mistura para preparo de canjiquinha DIET (Pacote com 130 g)</w:t>
            </w:r>
          </w:p>
        </w:tc>
        <w:tc>
          <w:tcPr>
            <w:tcW w:w="464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Mistura para preparo de Canjiquinha / curau , para dietas com ingestão controlada de açúcares. Preparo rápido. SEM ADIÇÃO DE AÇÚCARES. DIET. Embalada em sacos de poliéster metalizados. Prazo de validade mínimo 02 meses a contar a partir da data de entrega. Rotulagem em conformidade à legislação vigente. Pacote com 130g.</w:t>
            </w:r>
          </w:p>
        </w:tc>
        <w:tc>
          <w:tcPr>
            <w:tcW w:w="102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5,58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747,72</w:t>
            </w:r>
          </w:p>
        </w:tc>
      </w:tr>
      <w:tr>
        <w:trPr/>
        <w:tc>
          <w:tcPr>
            <w:tcW w:w="9236"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34</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24.852,25</w:t>
            </w:r>
          </w:p>
        </w:tc>
      </w:tr>
      <w:tr>
        <w:trPr/>
        <w:tc>
          <w:tcPr>
            <w:tcW w:w="10262"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56"/>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35: CAMPUS SERRA TALHADA – Gêneros Secos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(Pacote com 200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1ª qualidade. Rotulagem de acordo com a legislação. Pacote 200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2,67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4.127,82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diet (Pacote com 200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Achocolatado em pó diet, instantâneo, 0% de açúcar. Embalagem de polietileno atóxico, resistente, contendo no máximo 200g. Com selo de aprovação da Associação de Diabetes Juvenil. Na embalagem deverá constar o nome e marca do produto, data de fabricação, prazo de validade, número do lote e tabela de informações nutricionais. A data de validade deve ser no mínimo de 6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17,70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3.079,80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429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cristal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tipo CRISTAL branco de 1ª qualidade, acondicionado em embalagem transparente de 1 Kg, com todas as informações pertinentes ao produto, previsto na legislação vigente, com prazo de validade de 12 meses no momento da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2,59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4.004,14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demerara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Açúcar, tipo DEMERARA, composição origem vegetal, sacarose de cana de açúcar. Industrializado. Em embalagem plástica contendo 1 Kg. Obs: sem enxofre. Rotulagem de acordo com a legislação.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783,00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moído (Pacote com 250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Café torrado e moído, empacotado a vácuo, puro. Pacote com 250g, inviolado, livre de insetos, microrganismos ou outras impurezas que venham a comprometer o armazenamento e a saúde humana. Apresentar para cada 250 g um rendimento igual ou superior a 7 litros para preparo de café suave, tendo como característica sensorial sabor não amargo. Apresentar selo de pureza ABIC. Validade mínima de 120 dias da data de entrega do produto. Registro no Ministério da Saúde.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5,48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5.808,80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Creme de leite (Caixa com 200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Creme de leite, 1ªqualidade. Com S.I.F. Data de validade mínima de 3 meses a contar da data de entrega do produto. Rotulagem em conformidade à legislação. Caixa com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512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1.546,24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Ervilha em conserva (Pacote com 2kg)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Ervilha em conserva, grãos inteiros, líquido translúcido, livre de impurezas. Validade mínima de 6 meses a partir da data de entrega. Pacote com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19,41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1.494,57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condensado (Embalagem com 395g)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Condensado, acondicionado em embalagem Tetra pack, 1ª qualidade. O produto deverá ter validade mínima de 6 meses a partir da data de entrega. Embalagem de 395g.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395g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300,30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de coco (Unidade com 200ml)</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de coco. Rotulagem em conformidade à legislação vigente. Deverá apresentar validade mínima de 12 meses a partir da data de entrega à unidade requisitante. Embalagem de 200ml.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459,52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tipo 1 (Pacote com 200g)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desnatado. Embalagem apropriada, com S.I.F. Rotulagem de acordo com a legislação vigente. Deverá apresentar validade mínima de 06 meses a partir da data de entrega à unidade requisitante. Pacote com 200 gramas. NÃO PODE SER LEITE MODIFICADO NEM PRODUTO LÁCTEO.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5,58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1.941,84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tipo 2 (Pacote com 200g)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Leite em pó integral, sem adição de açúcar, Instantâneo. Deverá apresentar validade mínima de 06 meses a partir da data de entrega à unidade requisitante. NÃO PODE SER LEITE MODIFICADO NEM PRODUTO LÁCTEO. Rotulagem de acordo com a legislação vigente. Pacote de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3144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4,62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14.525,28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Óleo vegetal de soja (Garrafa com 900 ml)</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Óleo vegetal comestível, de Soja, TIPO 1. Rotulagem de acordo com a legislação vigente. Deverá apresentar validade mínima de 04 meses a partir da data de entrega à unidade requisitante. Garrafa c/ 900ml.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900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1.554,00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439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Proteína texturizada de soja (Pacote com 400g)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Proteína texturizada granulada de soja ESCURA, com aspecto cor, cheiro e sabor próprio, isenta de sujidades, em saco plástico transparente. Rotulagem de acordo com a legislação vigente. Deverá apresentar validade mínima de 6 meses a partir da data de entrega à unidade requisitante. Pacote c/ 400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400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1965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9.176,55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parmesão (Pacote com 50g)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Queijo Parmesão Ralado, 1º qualidade. Rotulagem de acordo com a legislação vigente. Prazo de validade mínimo 04 meses a contar a partir da data de entrega. Pacote 50g.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79</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288,35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Sardinha em conserva (Lata com 250g)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Sardinha conservada em molho de TOMATE. Ingredientes: sardinha, água de constituição (ao próprio suco), MOLHO DE TOMATE e sal. Sem glúten. Latas sem amassados, sem ferrugem. Rotulagem de acordo com a legislação. Deverá apresentar validade mínima de 6 meses a partir da data de entrega à unidade requisitante. Lata com 250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Unidade250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2515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18.133,15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Coco ralado (Pacote com 100g)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Coco em flocos, ralado, SEM AÇÚCAR. Coco ralado puro, sem casca, coloração branca, acondicionado em embalagem apropriada, original de fábrica. Livre de parasitas, contaminantes ou sujidades. Rotulagem conforme legislação vigente. Data de validade mínima de 6 meses a contar da data de entrega do produto. Pacote com 100g.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297,60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químico (Pote com 100g)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Fermento em pó químico. Aplicação em bolos. Rotulagem de acordo com a legislação. Pote 100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Pote 100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741,00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em pó (Unidade)</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Chocolate em pó - Chocolate em pó Solúvel com 50% de Cacau de sabor, cor e aroma acentuados. Indicado para preparo de bolos, brigadeiros, tortas, cremes, recheios, coberturas, caldas de chocolate, mousses e bebidas. Tabela nutricional impressa na embalagem. Pacotes de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24.813,30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Canela em pó (Pote com 35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Canela em pó, fina, nova, sem sujidades, com cheiro característico. Deverá apresentar validade mínima de 12 meses a partir da data de entrega à unidade requisitante. Rotulagem de acordo com a legislação. Potes com 35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Pote</w:t>
            </w:r>
          </w:p>
          <w:p>
            <w:pPr>
              <w:pStyle w:val="Contedodatabela"/>
              <w:jc w:val="center"/>
              <w:rPr>
                <w:rFonts w:ascii="Arial" w:hAnsi="Arial"/>
                <w:b/>
                <w:b/>
                <w:bCs/>
                <w:sz w:val="16"/>
                <w:szCs w:val="16"/>
              </w:rPr>
            </w:pPr>
            <w:r>
              <w:rPr>
                <w:rFonts w:ascii="Arial" w:hAnsi="Arial"/>
                <w:b/>
                <w:bCs/>
                <w:sz w:val="16"/>
                <w:szCs w:val="16"/>
              </w:rPr>
              <w:t>35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343,20</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35</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93.418,46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56"/>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36: CAMPUS SERRA TALHADA – Leguminosas e Oleaginosas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Amendoim (Pacote com 500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Amendoim cru, ao natural, com cascas íntegras, sem partes amolecidas. Rotulagem de acordo com a legislação.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841,65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carioca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carioca, industrializado, tipo 1. Cores rajadas de marrom claro e escuro, classe cores, grupo I comum. Embalagem plástica transparente. Rotulagem em conformidade à legislação. Isento de matéria terrosa, parasitas, fungos, vestígios de insetos, livres de umidade e coloração especifica. O produto deverá apresentar validade mínima de 06 meses a partir da data de entrega à unidade requisitante. Embalagem de 1kg.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1465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6.079,75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de corda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de corda / fradinho / macáçar, tipo 1, limpo. Industrializado. Rotulagem em conformidade à legislação vigente. Deverá apresentar validade mínima de 04 meses a partir da data de entrega. Embalagem com 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2.214,30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449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preto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Feijão preto tipo 1, industrializado. Rotulagem em conformidade à legislação vigente. Deverá apresentar validade mínima de 04 meses a partir da data de entrega à unidade requisitante. Embalagem com 01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6,14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2.241,10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em conserva tipo 1 (Unidade com 2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em conserva, latas íntegras, sem amassados, sem ferrugem, sem furos, sem estufamento. Rotulagem em conformidade à legislação vigente. Data de validade mínima de 6 meses a contar da data de entrega do produto. Para uso culinário. Lata c/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16,01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1.232,77</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36</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12.609,57</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p>
      <w:pPr>
        <w:pStyle w:val="Normal"/>
        <w:spacing w:lineRule="auto" w:line="240" w:before="0" w:after="0"/>
        <w:jc w:val="center"/>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56"/>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37: CAMPUS SERRA TALHADA – Massas Alimentícias, Macarrão e Biscoitos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tipo 1 (Caixa com 20 pacotes)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doce maisena, apresentação retangular, sem cheiro. Rotulagem de acordo com a legislação. Validade mínima de 6 meses a partir da data de entrega.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80,75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1.211,25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tipo 2 (Caixa com 20 pacotes)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salgado cream cracker. Rotulagem de acordo com a legislação. Validade mínima de 6 meses a partir da data de entrega.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69,80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tipo 3 (Caixa com 20 pacotes)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Biscoito Integral tipo cream Cracker , com validade de 2 anos a partir da data de entrega, livre de fungos, sem unidades quebradas , embalagem integra, de boa qualidade. Caixa c/ 20 pct de 400g.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Caixa c/ 20 pacotes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85,95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1.289,25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1 (Pacote com 500g)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fino. tipo espaguete. SEM OVOS, de 1ª qualidade, íntegro. Rotulagem de acordo com a legislação vigente. Deverá apresentar validade mínima de 10 meses a partir da data de entrega à unidade requisitante.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1.638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3.963,96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2 (Pacote com 500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espaguete INTEGRAL. Ingredientes: farinha de trigo integral enriquecida com ferro e ácido fólico e corante natural de urucum e cúrcuma. SEM OVOS, DE 1ª QUALIDADE. Embalagem: plástica, transparente, resistente, bem vedada, isento de qualquer substância estranha ou nociva. Prazo de validade mínimo 06 meses a contar a partir da data de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556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1.968,24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tipo 3 (Pacote com 500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Macarrão curto com ovos, tipo parafuso, submetido a processo de secagem, acondicionado em embalagens apropriadas. Rotulagem conforme legislação vigente. Prazo de validade mínimo 06 meses a contar a partir da data de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1.638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3,70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6.060,60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Massa Sêmola (Pacote com 500g)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Massa de Sêmola para lasanha. Rotulagem de acordo com a legislação vigente. Deverá apresentar validade mínima de 6 meses a partir da data de entrega à unidade requisitante. Pacote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5,93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6.072,32</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37</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21.612,62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56"/>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38: CAMPUS SERRA TALHADA – Condimentos, Temperos e Molhos</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Açafrão da terra/ Cúrcuma (Pacote com 50g)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Açafrão da terra, em pó de cor amarela ou avermelhada. Pó isento de impurezas e umidade. Acondicionado em embalagem 50g, integra, atóxica, resistente, vedada hermeticamente e limpa. Livre de sujidades e contaminantes. Rotulagem conforme legislação. Data de validade mínima de 6 meses a contar da data de entrega do produto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3.607,74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459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Colorau (Pacote com 500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Colorífico, apresentação industrial, constituído pela mistura de milho, urucum, óleo vegetal e sal. Aspecto físico pó, tipo industrial, aplicação culinária em geral. Não poderá conter substâncias estranhas à sua composição normal, exceto as previstas na legislação específica. Rotulagem em conformidade à legislação vigente. Deverá conter a validade de no mínimo 12 meses, a partir da data da entrega. Pacote com 500 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2.205,80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Cominho em pó (Pacote com 30g)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Cominho em pó. Puro, livre de sujidades e contaminantes. Acondicionado em embalagem apropriada, íntegra, atóxica, resistente, vedada hermeticamente e limpa. Rotulagem conforme legislação vigente. Data de validade mínima de 6 meses a contar da data de entrega do produto. Pacote 30g.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30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6826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13.925,04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Extrato de tomate (Pacote com 2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Extrato de tomate, sem mostarda. Ingredientes: Tomate e sal. Produto de aspecto pastoso, consistente. Não pode ser molho de tomate (ralo). Rotulagem de acordo com a legislação. Data de validade mínima de 6 meses a contar da data de entrega do produto. Pacotes com 2kg.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 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12,74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1.337,70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Orégano (Pacote com 200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Orégano desidratado, industrializado, com aplicação em culinária, isento de materiais estranhos a sua espécie acondicionado em saco plástico transparente atóxico, resistente e hermeticamente vedado. Rotulagem de acordo com a legislação. Deverá apresentar validade mínima de 6 meses a partir da data de entrega à unidade requisitante. Pacote com 200g.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200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17,59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2.251,52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 de cozinha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Sal de cozinha, moído, branco, de 1ª qualidade, tratamento diferenciado: iodado. Rotulagem de acordo com a legislação vigente. Deverá conter validade mínima de 01 ano a partir da data da entrega à unidade requisitante. Pacote com 01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0,82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192,70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Vinagre (Garrafa com 500 ml)</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Vinagre de vinho branco, tipo macio, acidez mínima (g/100 mL) de 4,0, líquido, límpido e sem depósitos de sujidades. A legislação brasileira estabelece em 1,0% v/v o teor alcoólico máximo p/ vinagre. Rotulagem de acordo com a legislação vigente. Deverá apresentar validade mínima de 6 meses a partir da data de entrega à unidade requisitante. Garrafa c/ 500ml.</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Garrafa 500 ml</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2.524,56</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38</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26.045,06</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56"/>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39: CAMPUS SERRA TALHADA – Hortifruti</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Abacaxi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Abacaxi in natura (Ananas como sus), tamanho médio, com polpas firmes e intactas, coloração uniforme, grau de maturação madura.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880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3.634,40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Abóbora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Abóbora nova, firme, sem machucados, sem partes escurecidas ou amolecidas.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460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2,81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1.292,60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Abobrinha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Abobrinha brasileira. Produtos sãos, limpos e de boa qualidade, sem defeitos, suficientemente desenvolvidos, com aspecto, aroma e sabor típicos da variedade e uniformidade no tamanho e na cor.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Alface (Molhos)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Alface crespa, fresca, tamanho e coloração uniformes, bem desenvolvida. sem material terroso, livre de resíduos de fertilizantes, parasitos e larvas, sem danos provocados pelo manuseio ou transporte.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2.478,08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469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Alho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Alho in natura, aspecto físico em cabeça, tamanho grande.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17,54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4.139,44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da terra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da terra.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932,28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prata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Banana prata.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1.248,00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 inglesa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 inglesa in natura, 1ª qualidade, tamanho grande, lisa, sem brotos ou partes verdes.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1.597,44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Batata-doce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Batata-doce roxa com casca firme, sem cortes, sem sinais de umidade e sem bolor.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640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2.163,20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Beterraba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Beterraba. Tamanho médio, produtos limpos, de boa qualidade, sem defeitos, suficientemente desenvolvidos com aspecto, aroma e sabor típicos da variedade e uniformidade no tamanho e na cor.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1.414,40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Brócolis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Brócolis. Tipo ramoso, in natura. Tamanho e coloração uniformes. Sem áreas amareladas, sem sujidades ou outros defeitos que possam alterar sua aparência ou qualidade.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13,28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2.709,12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Cebolinha verde (Molhos)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Cebolinha verde, comum, limpa, tenra, com raiz, com coloração uniforme, com sabor e odor característico a cada variedade. Sem podridão, sem partes secas, murchas ou queimadas por sol ou frio. Bem desenvolvida.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2947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6.218,17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Cebola in natura, uso culinário, tipo branca, firme, sem manchas ou partes amolecidas.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3,84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906,24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Cenoura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Cenoura, in natura, alaranjada, sem material terroso, livre de resíduos de fertilizantes, parasitos e larvas, sem danos provocados pelo manuseio ou transporte, sem brotos, grau de maturação madura.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1.401,92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479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Coentro (Molhos)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Coentro: Folhas verdes, fresca, sem traços de descoloração, íntegros e firmes, isentos de sujidades ou corpo estranhos.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2.947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5.275,13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Chuchu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Hortaliça de casca verde-escuro, sem espinhos, aplicação culinária em geral. Livre de umidade externa, tenra, firme, com sabor e odor característicos, sem podridão úmida ou seca, sem partes queimadas ou esverdeadas, sem danos provocados pelo manuseio ou transporte. Isenta de cortes.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621,15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 flor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Couve-flor. Fresca, tamanho médio a grande, cabeças firmes e sem áreas escuras, com maturação uniforme e coloração amarelada, sem manchas de fungos.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9,09</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1.863,45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 folha (Molhos)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Couve folha, in natura, sem material terroso, livre de resíduos de fertilizantes, parasitos e larvas, sem danos provocados pelo manuseio ou transporte. Unidade: molho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2,15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550,40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Goiaba vermelha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Goiaba vermelha. De primeira, apresentando tamanho, cor e com formação uniforme, devendo ser bem desenvolvida e madura, com polpa intacta e firme, sem danos físicos e mecânicos oriundos do manuseio e transporte.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3,50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1.456,00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Laranja pêra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Laranja pêra “in natura” .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800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2,98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2.384,00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Limão taiti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Limão taiti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320</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4,16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1.331,20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Maçã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Maçã nacional, selecionada, in natura, tamanho médio.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2.499,44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Mamão formosa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Mamão formosa, íntegro, sem machucados, sem furos, sem partes amolecidas, não muito maduros.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879,58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com casca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com casca, in natura, sem injurias, doenças, sem escurecimento. Raiz na cor marrom e massa branca.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796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3,25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2.587,00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489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sem casca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Mandioca, sem casca, resfriada, sem injurias, doenças, sem escurecimento. Embalada a vácuo. Rotulagem em conformidade à legislação vigente.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786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5,07</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3.985,02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Manga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pPr>
            <w:r>
              <w:rPr>
                <w:rStyle w:val="Nfaseforte"/>
                <w:rFonts w:ascii="Arial" w:hAnsi="Arial"/>
                <w:b w:val="false"/>
                <w:bCs w:val="false"/>
                <w:sz w:val="16"/>
                <w:szCs w:val="16"/>
              </w:rPr>
              <w:t xml:space="preserve">Manga </w:t>
            </w:r>
            <w:r>
              <w:rPr>
                <w:rStyle w:val="Nfaseforte"/>
                <w:rFonts w:ascii="Arial" w:hAnsi="Arial"/>
                <w:sz w:val="16"/>
                <w:szCs w:val="16"/>
              </w:rPr>
              <w:t xml:space="preserve"> </w:t>
            </w:r>
            <w:r>
              <w:rPr>
                <w:rStyle w:val="Fontepargpadro"/>
                <w:rFonts w:ascii="Arial" w:hAnsi="Arial"/>
                <w:sz w:val="16"/>
                <w:szCs w:val="16"/>
              </w:rPr>
              <w:t>Limpa, madura, tenra e sem fiapos. Casca lisa e brilhante, sem manchas, sem podridão, sem deformações. Bem desenvolvida com peso igual ou superior a 400g cada.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1.237,78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Melancia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Melancia, in natura, sem machucados, íntegra, grande de 1ª qualidade, tamanho e coloração uniforme.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573,12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Melão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Melão "amarelo". In natura.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398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2,44</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971,12</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verde em espiga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Milho verde em espigas com palhas íntegras, sem partes amolecidas ou estragadas.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318</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2,21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702,78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Pepino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Pepino, in natura, coloração verde, firme, sem injúrias.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3,36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688,80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Pimentão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Pimentão verde, in natura, novo, sem amassados, sem manchas ou furos.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236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4,26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1.005,36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Repolho Branco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Repolho Branco, in natura, 1ª qualidade, tamanho grande, sem manchas ou partes murchas.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932,75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Repolho Roxo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Repolho Roxo, in natura, 1ª qualidade, tamanho grande, sem manchas ou partes murchas.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205</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7,06</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1.447,30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Tomate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Tomate vermelho paulista, graúdo, in natura, 1ª qualidade, sem machucados, sem furos, firmes. Maduro.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424</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4,02</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1.704,48</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499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Vagem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Vagem curta verde, tamanho e coloração uniformes, livre de material terroso, sem danos causados pelo manuseio ou transporte. Unidade de fornecimento: Quilograma.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8,11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624,47</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39</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64.191,62</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sz w:val="20"/>
          <w:szCs w:val="20"/>
        </w:rPr>
      </w:pPr>
      <w:r>
        <w:rPr>
          <w:sz w:val="20"/>
          <w:szCs w:val="20"/>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56"/>
        <w:gridCol w:w="1"/>
        <w:gridCol w:w="1026"/>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40: CAMPUS SERRA TALHADA – Polpas de Fruta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1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ACEROLA.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3092</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11,18</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34.568,56</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2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CAJU.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10,40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16.078,40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3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GOIABA.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1546</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11,10</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17.160,60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503</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4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GRAVIOLA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13,01</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10.056,73</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504</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5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MANGA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11,65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9.005,45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505</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6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MARACUJÁ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15,73</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12.159,29</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506</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tipo 7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POLPA DE FRUTA PASTEURIZADA – UMBU EMBALAGEM COM 1 Kg (Com comprovante de análise microbiológica referente à produção do lote. Sendo a coleta e análise das amostras realizadas a no máximo um mês atrás). Deverá apresentar validade mínima de 06 (seis) meses a partir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773</w:t>
            </w:r>
          </w:p>
        </w:tc>
        <w:tc>
          <w:tcPr>
            <w:tcW w:w="95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12,85</w:t>
            </w:r>
          </w:p>
        </w:tc>
        <w:tc>
          <w:tcPr>
            <w:tcW w:w="1027"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9.933,05</w:t>
            </w:r>
          </w:p>
        </w:tc>
      </w:tr>
      <w:tr>
        <w:trPr/>
        <w:tc>
          <w:tcPr>
            <w:tcW w:w="9236"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PARA O GRUPO 40</w:t>
            </w:r>
          </w:p>
        </w:tc>
        <w:tc>
          <w:tcPr>
            <w:tcW w:w="102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108.962,08</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iCs/>
                <w:color w:val="00000A"/>
                <w:sz w:val="20"/>
                <w:szCs w:val="20"/>
              </w:rPr>
            </w:pPr>
            <w:r>
              <w:rPr>
                <w:rStyle w:val="Fontepargpadro"/>
                <w:rFonts w:eastAsia="Calibri" w:cs="Arial" w:ascii="Arial" w:hAnsi="Arial"/>
                <w:iCs/>
                <w:color w:val="000000"/>
                <w:sz w:val="16"/>
                <w:szCs w:val="16"/>
                <w:lang w:val="pt-BR" w:eastAsia="zh-CN" w:bidi="ar-SA"/>
              </w:rPr>
              <w:t>PE 320, Km 126, Zona Rural – Serra Talhada/PE</w:t>
            </w:r>
          </w:p>
        </w:tc>
      </w:tr>
    </w:tbl>
    <w:p>
      <w:pPr>
        <w:pStyle w:val="Normal"/>
        <w:rPr/>
      </w:pPr>
      <w:r>
        <w:rPr/>
      </w:r>
    </w:p>
    <w:tbl>
      <w:tblPr>
        <w:tblW w:w="10263" w:type="dxa"/>
        <w:jc w:val="left"/>
        <w:tblInd w:w="-16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Pr>
      <w:tblGrid>
        <w:gridCol w:w="513"/>
        <w:gridCol w:w="1470"/>
        <w:gridCol w:w="4539"/>
        <w:gridCol w:w="1135"/>
        <w:gridCol w:w="622"/>
        <w:gridCol w:w="908"/>
        <w:gridCol w:w="1"/>
        <w:gridCol w:w="1074"/>
      </w:tblGrid>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numPr>
                <w:ilvl w:val="0"/>
                <w:numId w:val="1"/>
              </w:numPr>
              <w:spacing w:lineRule="auto" w:line="240" w:before="0" w:after="0"/>
              <w:jc w:val="center"/>
              <w:textAlignment w:val="center"/>
              <w:rPr>
                <w:rFonts w:ascii="Arial" w:hAnsi="Arial"/>
                <w:b/>
                <w:b/>
                <w:bCs/>
                <w:sz w:val="16"/>
                <w:szCs w:val="16"/>
              </w:rPr>
            </w:pPr>
            <w:r>
              <w:rPr>
                <w:rStyle w:val="Fontepargpadro"/>
                <w:rFonts w:ascii="Arial" w:hAnsi="Arial"/>
                <w:b/>
                <w:bCs/>
                <w:sz w:val="16"/>
                <w:szCs w:val="16"/>
              </w:rPr>
              <w:t>GRUPO 41: CAMPUS SERRA TALHADA – Padaria</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Nº Item</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Item</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Descrição</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Unidade</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Qtd.</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 Unitário Estimado</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spacing w:before="0" w:after="0"/>
              <w:jc w:val="center"/>
              <w:rPr>
                <w:rFonts w:ascii="Arial" w:hAnsi="Arial"/>
                <w:b/>
                <w:b/>
                <w:bCs/>
                <w:sz w:val="16"/>
                <w:szCs w:val="16"/>
              </w:rPr>
            </w:pPr>
            <w:r>
              <w:rPr>
                <w:rFonts w:ascii="Arial" w:hAnsi="Arial"/>
                <w:b/>
                <w:bCs/>
                <w:sz w:val="16"/>
                <w:szCs w:val="16"/>
              </w:rPr>
              <w:t>Valor</w:t>
            </w:r>
          </w:p>
          <w:p>
            <w:pPr>
              <w:pStyle w:val="Contedodatabela"/>
              <w:spacing w:before="0" w:after="0"/>
              <w:jc w:val="center"/>
              <w:rPr>
                <w:rFonts w:ascii="Arial" w:hAnsi="Arial"/>
                <w:b/>
                <w:b/>
                <w:bCs/>
                <w:sz w:val="16"/>
                <w:szCs w:val="16"/>
              </w:rPr>
            </w:pPr>
            <w:r>
              <w:rPr>
                <w:rFonts w:ascii="Arial" w:hAnsi="Arial"/>
                <w:b/>
                <w:bCs/>
                <w:sz w:val="16"/>
                <w:szCs w:val="16"/>
              </w:rPr>
              <w:t>Total Estimado</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507</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bacia tipo 1 (Pacote com 10 unidades)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Bacia: Bolo de trigo, em formas individuas , sem recheio nem coberturas, pesando entre 180g-220g cada. Empacotado em embalagem plástica contendo 10 unidades. Deve conter em sua embalagem a data de fabricação e de validade.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2560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17,25</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44.160,00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508</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bacia tipo 2 (Pacote com 10 unidades)</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Bacia: Bolo de trigo INTEGRAL, em forma individuas, sem recheio nem coberturas, pesando entre 180g-220g cada. Empacotado em embalagem plástica contendo 10 unidades. Deve conter em sua embalagem a data de fabricação e de validade.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2560</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30,60</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78.336,00</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509</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Torradas simples (Pacote com 500 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Torrada simples, de pão dormido Tipo Francês ou Tabica. Embalagem plástica de 500g, contendo data de fabricação e validade. Validade mínima de 10 dias a contar da data de entrega.</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500 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152</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7,17</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1.089,84</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510</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Pão de cachorro quente (Pacote)</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Pão para cachorro quente.(Deverá apresentar validade mínima de 15 (quinze) dias a partir da data de entrega). Embalagem plástica contendo 10 unidades cada pacote.</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Pacote c/ 10 unidades</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1.051</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4,55</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4.782,05</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511</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de milho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de milho, novo, contendo data de validade e de fabricação. Embalado individualmente com plástico filme. A unidade deve variar de 2 a 4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773</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19,19</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14.833,87</w:t>
            </w:r>
          </w:p>
        </w:tc>
      </w:tr>
      <w:tr>
        <w:trPr/>
        <w:tc>
          <w:tcPr>
            <w:tcW w:w="51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vAlign w:val="center"/>
          </w:tcPr>
          <w:p>
            <w:pPr>
              <w:pStyle w:val="Contedodatabela"/>
              <w:jc w:val="center"/>
              <w:rPr>
                <w:rFonts w:ascii="Arial" w:hAnsi="Arial"/>
                <w:sz w:val="16"/>
                <w:szCs w:val="16"/>
              </w:rPr>
            </w:pPr>
            <w:r>
              <w:rPr>
                <w:rFonts w:ascii="Arial" w:hAnsi="Arial"/>
                <w:sz w:val="16"/>
                <w:szCs w:val="16"/>
              </w:rPr>
              <w:t>512</w:t>
            </w:r>
          </w:p>
        </w:tc>
        <w:tc>
          <w:tcPr>
            <w:tcW w:w="147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de cenoura (Kg)</w:t>
            </w:r>
          </w:p>
        </w:tc>
        <w:tc>
          <w:tcPr>
            <w:tcW w:w="45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both"/>
              <w:rPr>
                <w:rFonts w:ascii="Arial" w:hAnsi="Arial"/>
                <w:sz w:val="16"/>
                <w:szCs w:val="16"/>
              </w:rPr>
            </w:pPr>
            <w:r>
              <w:rPr>
                <w:rFonts w:ascii="Arial" w:hAnsi="Arial"/>
                <w:sz w:val="16"/>
                <w:szCs w:val="16"/>
              </w:rPr>
              <w:t>Bolo de cenoura, novo, Sem cobertura, contendo data de validade e de fabricação. Embalado individualmente com plástico filme. A unidade deve variar de 2 a 4 kg.</w:t>
            </w:r>
          </w:p>
        </w:tc>
        <w:tc>
          <w:tcPr>
            <w:tcW w:w="113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Kg</w:t>
            </w:r>
          </w:p>
        </w:tc>
        <w:tc>
          <w:tcPr>
            <w:tcW w:w="6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773</w:t>
            </w:r>
          </w:p>
        </w:tc>
        <w:tc>
          <w:tcPr>
            <w:tcW w:w="9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18,89</w:t>
            </w:r>
          </w:p>
        </w:tc>
        <w:tc>
          <w:tcPr>
            <w:tcW w:w="1075"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9" w:type="dxa"/>
            </w:tcMar>
          </w:tcPr>
          <w:p>
            <w:pPr>
              <w:pStyle w:val="Contedodatabela"/>
              <w:jc w:val="center"/>
              <w:rPr>
                <w:rFonts w:ascii="Arial" w:hAnsi="Arial"/>
                <w:b/>
                <w:b/>
                <w:bCs/>
                <w:sz w:val="16"/>
                <w:szCs w:val="16"/>
              </w:rPr>
            </w:pPr>
            <w:r>
              <w:rPr>
                <w:rFonts w:ascii="Arial" w:hAnsi="Arial"/>
                <w:b/>
                <w:bCs/>
                <w:sz w:val="16"/>
                <w:szCs w:val="16"/>
              </w:rPr>
              <w:t>14.601,97</w:t>
            </w:r>
          </w:p>
        </w:tc>
      </w:tr>
      <w:tr>
        <w:trPr/>
        <w:tc>
          <w:tcPr>
            <w:tcW w:w="9188"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VALOR TOTAL ESTIMADO PARA O GRUPO 41</w:t>
            </w:r>
          </w:p>
        </w:tc>
        <w:tc>
          <w:tcPr>
            <w:tcW w:w="10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157.803,73</w:t>
            </w:r>
          </w:p>
        </w:tc>
      </w:tr>
      <w:tr>
        <w:trPr/>
        <w:tc>
          <w:tcPr>
            <w:tcW w:w="10262" w:type="dxa"/>
            <w:gridSpan w:val="8"/>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vAlign w:val="center"/>
          </w:tcPr>
          <w:p>
            <w:pPr>
              <w:pStyle w:val="Contedodatabela"/>
              <w:bidi w:val="0"/>
              <w:spacing w:lineRule="auto" w:line="276" w:before="0" w:after="0"/>
              <w:ind w:left="0" w:right="0" w:hanging="0"/>
              <w:jc w:val="left"/>
              <w:rPr>
                <w:rFonts w:ascii="Arial" w:hAnsi="Arial" w:cs="Arial"/>
                <w:sz w:val="16"/>
                <w:szCs w:val="16"/>
              </w:rPr>
            </w:pPr>
            <w:r>
              <w:rPr>
                <w:rFonts w:eastAsia="Calibri" w:cs="Calibri" w:ascii="Arial" w:hAnsi="Arial"/>
                <w:b/>
                <w:bCs/>
                <w:iCs/>
                <w:color w:val="00000A"/>
                <w:sz w:val="16"/>
                <w:szCs w:val="16"/>
                <w:u w:val="none"/>
                <w:lang w:val="pt-BR" w:eastAsia="zh-CN" w:bidi="ar-SA"/>
              </w:rPr>
              <w:t xml:space="preserve">Local de Entrega: </w:t>
            </w:r>
            <w:r>
              <w:rPr>
                <w:rFonts w:eastAsia="Calibri" w:cs="Calibri" w:ascii="Arial" w:hAnsi="Arial"/>
                <w:b w:val="false"/>
                <w:bCs w:val="false"/>
                <w:iCs/>
                <w:color w:val="00000A"/>
                <w:sz w:val="16"/>
                <w:szCs w:val="16"/>
                <w:u w:val="none"/>
                <w:lang w:val="pt-BR" w:eastAsia="zh-CN" w:bidi="ar-SA"/>
              </w:rPr>
              <w:t>(Sede do Campus Serra Talhada)</w:t>
            </w:r>
          </w:p>
          <w:p>
            <w:pPr>
              <w:pStyle w:val="Normal"/>
              <w:bidi w:val="0"/>
              <w:spacing w:lineRule="auto" w:line="276" w:before="0" w:after="0"/>
              <w:ind w:left="0" w:right="0" w:hanging="0"/>
              <w:jc w:val="both"/>
              <w:rPr>
                <w:rFonts w:ascii="Open Sans" w:hAnsi="Open Sans"/>
                <w:b w:val="false"/>
                <w:b w:val="false"/>
                <w:bCs w:val="false"/>
                <w:iCs/>
                <w:color w:val="00000A"/>
                <w:sz w:val="20"/>
                <w:szCs w:val="20"/>
              </w:rPr>
            </w:pPr>
            <w:r>
              <w:rPr>
                <w:rStyle w:val="Fontepargpadro"/>
                <w:rFonts w:eastAsia="Calibri" w:cs="Arial" w:ascii="Arial" w:hAnsi="Arial"/>
                <w:b w:val="false"/>
                <w:bCs w:val="false"/>
                <w:iCs/>
                <w:color w:val="000000"/>
                <w:sz w:val="16"/>
                <w:szCs w:val="16"/>
                <w:lang w:val="pt-BR" w:eastAsia="zh-CN" w:bidi="ar-SA"/>
              </w:rPr>
              <w:t>PE 320, Km 126, Zona Rural – Serra Talhada/PE</w:t>
            </w:r>
          </w:p>
        </w:tc>
      </w:tr>
      <w:tr>
        <w:trPr/>
        <w:tc>
          <w:tcPr>
            <w:tcW w:w="9188"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vAlign w:val="center"/>
          </w:tcPr>
          <w:p>
            <w:pPr>
              <w:pStyle w:val="Contedodatabela"/>
              <w:jc w:val="center"/>
              <w:rPr>
                <w:rFonts w:ascii="Arial" w:hAnsi="Arial"/>
                <w:b/>
                <w:b/>
                <w:bCs/>
                <w:sz w:val="16"/>
                <w:szCs w:val="16"/>
              </w:rPr>
            </w:pPr>
            <w:r>
              <w:rPr>
                <w:rFonts w:ascii="Arial" w:hAnsi="Arial"/>
                <w:b/>
                <w:bCs/>
                <w:sz w:val="16"/>
                <w:szCs w:val="16"/>
              </w:rPr>
              <w:t>Total estimado para os grupos 30 a 41</w:t>
            </w:r>
          </w:p>
        </w:tc>
        <w:tc>
          <w:tcPr>
            <w:tcW w:w="10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900.205,90</w:t>
            </w:r>
          </w:p>
        </w:tc>
      </w:tr>
      <w:tr>
        <w:trPr/>
        <w:tc>
          <w:tcPr>
            <w:tcW w:w="9188"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CCFF00" w:val="clear"/>
            <w:tcMar>
              <w:left w:w="49" w:type="dxa"/>
            </w:tcMar>
          </w:tcPr>
          <w:p>
            <w:pPr>
              <w:pStyle w:val="Contedodatabela"/>
              <w:jc w:val="center"/>
              <w:rPr>
                <w:rFonts w:ascii="Arial" w:hAnsi="Arial"/>
                <w:b/>
                <w:b/>
                <w:bCs/>
                <w:sz w:val="16"/>
                <w:szCs w:val="16"/>
              </w:rPr>
            </w:pPr>
            <w:r>
              <w:rPr>
                <w:rFonts w:ascii="Arial" w:hAnsi="Arial"/>
                <w:b/>
                <w:bCs/>
                <w:sz w:val="16"/>
                <w:szCs w:val="16"/>
              </w:rPr>
              <w:t>Valor Total Estimado (Grupos 01 a 41: 512 itens)</w:t>
            </w:r>
          </w:p>
        </w:tc>
        <w:tc>
          <w:tcPr>
            <w:tcW w:w="107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00FFFF" w:val="clear"/>
            <w:tcMar>
              <w:left w:w="49" w:type="dxa"/>
            </w:tcMar>
          </w:tcPr>
          <w:p>
            <w:pPr>
              <w:pStyle w:val="Contedodatabela"/>
              <w:jc w:val="center"/>
              <w:rPr>
                <w:rFonts w:ascii="Arial" w:hAnsi="Arial"/>
                <w:b/>
                <w:b/>
                <w:bCs/>
                <w:sz w:val="16"/>
                <w:szCs w:val="16"/>
              </w:rPr>
            </w:pPr>
            <w:r>
              <w:rPr>
                <w:rFonts w:ascii="Arial" w:hAnsi="Arial"/>
                <w:b/>
                <w:bCs/>
                <w:sz w:val="16"/>
                <w:szCs w:val="16"/>
              </w:rPr>
              <w:t>4.728.146,69</w:t>
            </w:r>
          </w:p>
        </w:tc>
      </w:tr>
    </w:tbl>
    <w:p>
      <w:pPr>
        <w:pStyle w:val="Normal"/>
        <w:rPr/>
      </w:pPr>
      <w:r>
        <w:rPr/>
      </w:r>
    </w:p>
    <w:p>
      <w:pPr>
        <w:pStyle w:val="Normal"/>
        <w:rPr>
          <w:sz w:val="20"/>
          <w:szCs w:val="20"/>
        </w:rPr>
      </w:pPr>
      <w:r>
        <w:rPr>
          <w:sz w:val="20"/>
          <w:szCs w:val="20"/>
        </w:rPr>
      </w:r>
    </w:p>
    <w:p>
      <w:pPr>
        <w:pStyle w:val="Normal"/>
        <w:bidi w:val="0"/>
        <w:spacing w:lineRule="auto" w:line="240" w:before="0" w:after="0"/>
        <w:jc w:val="center"/>
        <w:rPr>
          <w:rFonts w:ascii="Times New Roman" w:hAnsi="Times New Roman" w:eastAsia="Times New Roman" w:cs="Times New Roman"/>
          <w:b/>
          <w:b/>
          <w:bCs/>
          <w:i w:val="false"/>
          <w:i w:val="false"/>
          <w:iCs w:val="false"/>
          <w:color w:val="000000"/>
          <w:sz w:val="20"/>
          <w:szCs w:val="20"/>
          <w:lang w:val="pt-BR" w:eastAsia="pt-BR" w:bidi="ar-SA"/>
        </w:rPr>
      </w:pPr>
      <w:r>
        <w:rPr>
          <w:rFonts w:eastAsia="Times New Roman" w:cs="Times New Roman" w:ascii="Times New Roman" w:hAnsi="Times New Roman"/>
          <w:b/>
          <w:bCs/>
          <w:i w:val="false"/>
          <w:iCs w:val="false"/>
          <w:color w:val="000000"/>
          <w:sz w:val="20"/>
          <w:szCs w:val="20"/>
          <w:lang w:val="pt-BR" w:eastAsia="pt-BR" w:bidi="ar-SA"/>
        </w:rPr>
      </w:r>
    </w:p>
    <w:p>
      <w:pPr>
        <w:pStyle w:val="Normal"/>
        <w:bidi w:val="0"/>
        <w:spacing w:lineRule="auto" w:line="240" w:before="0" w:after="0"/>
        <w:jc w:val="center"/>
        <w:rPr/>
      </w:pPr>
      <w:r>
        <w:rPr/>
      </w:r>
    </w:p>
    <w:sectPr>
      <w:headerReference w:type="even" r:id="rId2"/>
      <w:headerReference w:type="default" r:id="rId3"/>
      <w:footerReference w:type="even" r:id="rId4"/>
      <w:footerReference w:type="default" r:id="rId5"/>
      <w:type w:val="nextPage"/>
      <w:pgSz w:w="11906" w:h="16838"/>
      <w:pgMar w:left="1134" w:right="1131" w:header="0" w:top="1418" w:footer="1418" w:bottom="2115"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swiss"/>
    <w:pitch w:val="variable"/>
  </w:font>
  <w:font w:name="Times New Roman">
    <w:charset w:val="00"/>
    <w:family w:val="swiss"/>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Cambria">
    <w:charset w:val="00"/>
    <w:family w:val="roman"/>
    <w:pitch w:val="variable"/>
  </w:font>
  <w:font w:name="OpenSymbol">
    <w:altName w:val="Arial Unicode MS"/>
    <w:charset w:val="00"/>
    <w:family w:val="roman"/>
    <w:pitch w:val="variable"/>
  </w:font>
  <w:font w:name="Symbol">
    <w:charset w:val="00"/>
    <w:family w:val="roman"/>
    <w:pitch w:val="variable"/>
  </w:font>
  <w:font w:name="Wingdings 2">
    <w:charset w:val="00"/>
    <w:family w:val="roman"/>
    <w:pitch w:val="variable"/>
  </w:font>
  <w:font w:name="Courier New">
    <w:charset w:val="00"/>
    <w:family w:val="roman"/>
    <w:pitch w:val="variable"/>
  </w:font>
  <w:font w:name="Wingdings">
    <w:charset w:val="00"/>
    <w:family w:val="roman"/>
    <w:pitch w:val="variable"/>
  </w:font>
  <w:font w:name="Calibri Light">
    <w:charset w:val="00"/>
    <w:family w:val="roman"/>
    <w:pitch w:val="variable"/>
  </w:font>
  <w:font w:name="Liberation Sans">
    <w:altName w:val="Arial"/>
    <w:charset w:val="00"/>
    <w:family w:val="roman"/>
    <w:pitch w:val="variable"/>
  </w:font>
  <w:font w:name="Ecofont_Spranq_eco_Sans">
    <w:charset w:val="00"/>
    <w:family w:val="swiss"/>
    <w:pitch w:val="variable"/>
  </w:font>
  <w:font w:name="Arial Narrow">
    <w:charset w:val="00"/>
    <w:family w:val="roman"/>
    <w:pitch w:val="variable"/>
  </w:font>
  <w:font w:name="Arial">
    <w:altName w:val="sans-serif"/>
    <w:charset w:val="00"/>
    <w:family w:val="roman"/>
    <w:pitch w:val="variable"/>
  </w:font>
  <w:font w:name="Open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jc w:val="both"/>
      <w:rPr/>
    </w:pPr>
    <w:r>
      <w:rPr>
        <w:rFonts w:cs="Arial" w:ascii="Arial" w:hAnsi="Arial"/>
        <w:sz w:val="12"/>
        <w:szCs w:val="12"/>
      </w:rPr>
      <w:t>Atualização: Dezembro de 2018</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ascii="Arial" w:hAnsi="Arial"/>
        <w:sz w:val="12"/>
        <w:szCs w:val="12"/>
      </w:rPr>
      <w:t>Comissão Permanente de Modelos de Licitações e Contratos da Consultoria-Geral da União</w:t>
    </w:r>
  </w:p>
  <w:p>
    <w:pPr>
      <w:pStyle w:val="Rodap"/>
      <w:rPr/>
    </w:pPr>
    <w:r>
      <w:rPr>
        <w:rFonts w:cs="Arial" w:ascii="Arial" w:hAnsi="Arial"/>
        <w:sz w:val="12"/>
        <w:szCs w:val="12"/>
      </w:rPr>
      <w:t>Edital modelo para Pregão Eletrônico: Compras</w:t>
    </w:r>
  </w:p>
  <w:p>
    <w:pPr>
      <w:pStyle w:val="Rodap"/>
      <w:rPr/>
    </w:pPr>
    <w:r>
      <w:rPr>
        <w:rFonts w:cs="Arial" w:ascii="Arial" w:hAnsi="Arial"/>
        <w:sz w:val="12"/>
        <w:szCs w:val="12"/>
      </w:rPr>
      <w:t>Atualização: Dezembro de 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drawing>
        <wp:anchor behindDoc="1" distT="0" distB="0" distL="0" distR="0" simplePos="0" locked="0" layoutInCell="1" allowOverlap="1" relativeHeight="383">
          <wp:simplePos x="0" y="0"/>
          <wp:positionH relativeFrom="column">
            <wp:posOffset>2447290</wp:posOffset>
          </wp:positionH>
          <wp:positionV relativeFrom="paragraph">
            <wp:posOffset>66675</wp:posOffset>
          </wp:positionV>
          <wp:extent cx="743585" cy="46545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6"/>
        <w:szCs w:val="16"/>
        <w:lang w:val="pt-BR" w:eastAsia="hi-IN"/>
      </w:rPr>
    </w:pPr>
    <w:r>
      <w:rPr>
        <w:rFonts w:eastAsia="Times New Roman" w:cs="Times New Roman" w:ascii="Times New Roman" w:hAnsi="Times New Roman"/>
        <w:b/>
        <w:color w:val="000000"/>
        <w:sz w:val="16"/>
        <w:szCs w:val="16"/>
        <w:lang w:val="pt-BR" w:eastAsia="hi-IN"/>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w:rPr>
        <w:rFonts w:eastAsia="Times New Roman" w:cs="Times New Roman" w:ascii="Times New Roman" w:hAnsi="Times New Roman"/>
        <w:b w:val="false"/>
        <w:bCs w:val="false"/>
        <w:color w:val="000000"/>
        <w:sz w:val="16"/>
        <w:szCs w:val="16"/>
        <w:lang w:val="pt-BR" w:eastAsia="hi-IN"/>
      </w:rPr>
      <w:t xml:space="preserve">Endereço: </w:t>
    </w:r>
    <w:r>
      <w:rPr>
        <w:rStyle w:val="Fontepargpadro1"/>
        <w:rFonts w:eastAsia="Times New Roman" w:cs="Arial" w:ascii="Times New Roman" w:hAnsi="Times New Roman"/>
        <w:b w:val="false"/>
        <w:bCs w:val="false"/>
        <w:iCs/>
        <w:color w:val="000000"/>
        <w:spacing w:val="0"/>
        <w:sz w:val="16"/>
        <w:szCs w:val="16"/>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16"/>
        <w:szCs w:val="16"/>
        <w:u w:val="none"/>
        <w:lang w:val="pt-BR" w:eastAsia="hi-IN"/>
      </w:rPr>
      <w:t>, CEP: 56302100. TEL/FAX: (87) 2101-2350.</w:t>
    </w:r>
  </w:p>
  <w:p>
    <w:pPr>
      <w:pStyle w:val="Normal"/>
      <w:widowControl w:val="false"/>
      <w:tabs>
        <w:tab w:val="center" w:pos="11737" w:leader="none"/>
      </w:tabs>
      <w:suppressAutoHyphens w:val="true"/>
      <w:bidi w:val="0"/>
      <w:spacing w:lineRule="auto" w:line="240" w:before="0" w:after="0"/>
      <w:ind w:left="0" w:right="227" w:hanging="0"/>
      <w:jc w:val="center"/>
      <w:textAlignment w:val="baseline"/>
      <w:rPr/>
    </w:pPr>
    <w:r>
      <mc:AlternateContent>
        <mc:Choice Requires="wps">
          <w:drawing>
            <wp:anchor behindDoc="1" distT="0" distB="0" distL="0" distR="0" simplePos="0" locked="0" layoutInCell="1" allowOverlap="1" relativeHeight="275">
              <wp:simplePos x="0" y="0"/>
              <wp:positionH relativeFrom="column">
                <wp:posOffset>0</wp:posOffset>
              </wp:positionH>
              <wp:positionV relativeFrom="paragraph">
                <wp:posOffset>107315</wp:posOffset>
              </wp:positionV>
              <wp:extent cx="421005" cy="232410"/>
              <wp:effectExtent l="0" t="0" r="0" b="0"/>
              <wp:wrapTopAndBottom/>
              <wp:docPr id="2" name="Quadro1"/>
              <a:graphic xmlns:a="http://schemas.openxmlformats.org/drawingml/2006/main">
                <a:graphicData uri="http://schemas.microsoft.com/office/word/2010/wordprocessingShape">
                  <wps:wsp>
                    <wps:cNvSpPr/>
                    <wps:spPr>
                      <a:xfrm>
                        <a:off x="0" y="0"/>
                        <a:ext cx="420480" cy="23184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3.05pt;height:18.2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329">
              <wp:simplePos x="0" y="0"/>
              <wp:positionH relativeFrom="column">
                <wp:posOffset>0</wp:posOffset>
              </wp:positionH>
              <wp:positionV relativeFrom="paragraph">
                <wp:posOffset>107315</wp:posOffset>
              </wp:positionV>
              <wp:extent cx="421005" cy="232410"/>
              <wp:effectExtent l="0" t="0" r="0" b="0"/>
              <wp:wrapNone/>
              <wp:docPr id="3" name="Quadro2"/>
              <a:graphic xmlns:a="http://schemas.openxmlformats.org/drawingml/2006/main">
                <a:graphicData uri="http://schemas.microsoft.com/office/word/2010/wordprocessingShape">
                  <wps:wsp>
                    <wps:cNvSpPr/>
                    <wps:spPr>
                      <a:xfrm>
                        <a:off x="0" y="0"/>
                        <a:ext cx="420480" cy="23184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3.05pt;height:18.2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16"/>
        <w:szCs w:val="16"/>
        <w:u w:val="none"/>
        <w:lang w:val="pt-BR" w:eastAsia="hi-IN"/>
      </w:rPr>
      <w:t>E-mail: licitacoes@ifsertao-pe.edu.br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1" distT="0" distB="0" distL="0" distR="0" simplePos="0" locked="0" layoutInCell="1" allowOverlap="1" relativeHeight="56">
          <wp:simplePos x="0" y="0"/>
          <wp:positionH relativeFrom="column">
            <wp:posOffset>2447290</wp:posOffset>
          </wp:positionH>
          <wp:positionV relativeFrom="paragraph">
            <wp:posOffset>167005</wp:posOffset>
          </wp:positionV>
          <wp:extent cx="743585" cy="465455"/>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drawing>
        <wp:anchor behindDoc="1" distT="0" distB="0" distL="114935" distR="114935" simplePos="0" locked="0" layoutInCell="1" allowOverlap="1" relativeHeight="111">
          <wp:simplePos x="0" y="0"/>
          <wp:positionH relativeFrom="column">
            <wp:posOffset>5185410</wp:posOffset>
          </wp:positionH>
          <wp:positionV relativeFrom="paragraph">
            <wp:posOffset>48895</wp:posOffset>
          </wp:positionV>
          <wp:extent cx="1019175" cy="1063625"/>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2"/>
                  <a:stretch>
                    <a:fillRect/>
                  </a:stretch>
                </pic:blipFill>
                <pic:spPr bwMode="auto">
                  <a:xfrm>
                    <a:off x="0" y="0"/>
                    <a:ext cx="1019175" cy="1063625"/>
                  </a:xfrm>
                  <a:prstGeom prst="rect">
                    <a:avLst/>
                  </a:prstGeom>
                </pic:spPr>
              </pic:pic>
            </a:graphicData>
          </a:graphic>
        </wp:anchor>
      </w:drawing>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r>
  </w:p>
  <w:p>
    <w:pPr>
      <w:pStyle w:val="LONormal"/>
      <w:widowControl w:val="false"/>
      <w:suppressAutoHyphens w:val="true"/>
      <w:bidi w:val="0"/>
      <w:ind w:left="0" w:right="0" w:hanging="0"/>
      <w:jc w:val="center"/>
      <w:textAlignment w:val="baseline"/>
      <w:rPr>
        <w:rStyle w:val="Fontepare1gpadre3o"/>
        <w:sz w:val="20"/>
        <w:szCs w:val="20"/>
      </w:rPr>
    </w:pPr>
    <w:r>
      <w:rPr>
        <w:sz w:val="20"/>
        <w:szCs w:val="20"/>
      </w:rPr>
    </w:r>
  </w:p>
  <w:p>
    <w:pPr>
      <w:pStyle w:val="LONormal"/>
      <w:widowControl w:val="false"/>
      <w:suppressAutoHyphens w:val="true"/>
      <w:bidi w:val="0"/>
      <w:ind w:left="0" w:right="0" w:hanging="0"/>
      <w:jc w:val="center"/>
      <w:textAlignment w:val="baseline"/>
      <w:rPr/>
    </w:pPr>
    <w:r>
      <w:rPr>
        <w:rStyle w:val="Fontepare1gpadre3o"/>
        <w:rFonts w:eastAsia="Times New Roman" w:cs="Times New Roman" w:ascii="Times New Roman" w:hAnsi="Times New Roman"/>
        <w:b/>
        <w:color w:val="000000"/>
        <w:sz w:val="16"/>
        <w:szCs w:val="16"/>
        <w:lang w:val="pt-BR" w:eastAsia="hi-IN"/>
      </w:rPr>
      <w:t xml:space="preserve">MINISTÉRIO DA EDUCAÇÃO  - </w:t>
    </w:r>
    <w:r>
      <w:rPr>
        <w:rFonts w:eastAsia="Times New Roman" w:cs="Times New Roman" w:ascii="Times New Roman" w:hAnsi="Times New Roman"/>
        <w:b/>
        <w:color w:val="000000"/>
        <w:sz w:val="16"/>
        <w:szCs w:val="16"/>
        <w:lang w:val="pt-BR" w:eastAsia="hi-IN"/>
      </w:rPr>
      <w:t xml:space="preserve">SERVIÇO PÚBLICO FEDERAL </w:t>
    </w:r>
  </w:p>
  <w:p>
    <w:pPr>
      <w:pStyle w:val="LONormal"/>
      <w:widowControl w:val="false"/>
      <w:suppressAutoHyphens w:val="true"/>
      <w:bidi w:val="0"/>
      <w:ind w:left="0" w:right="0" w:hanging="0"/>
      <w:jc w:val="center"/>
      <w:textAlignment w:val="baseline"/>
      <w:rPr/>
    </w:pPr>
    <w:r>
      <w:rPr>
        <w:rFonts w:eastAsia="Times New Roman" w:cs="Times New Roman" w:ascii="Times New Roman" w:hAnsi="Times New Roman"/>
        <w:b/>
        <w:color w:val="000000"/>
        <w:sz w:val="16"/>
        <w:szCs w:val="16"/>
        <w:lang w:val="pt-BR" w:eastAsia="hi-IN"/>
      </w:rPr>
      <w:t xml:space="preserve"> </w:t>
    </w:r>
    <w:r>
      <w:rPr>
        <w:rFonts w:eastAsia="Times New Roman" w:cs="Times New Roman" w:ascii="Times New Roman" w:hAnsi="Times New Roman"/>
        <w:b/>
        <w:color w:val="000000"/>
        <w:sz w:val="16"/>
        <w:szCs w:val="16"/>
        <w:lang w:val="pt-BR" w:eastAsia="hi-IN"/>
      </w:rPr>
      <w:t xml:space="preserve">SECRETARIA DE EDUCAÇÃO PROFISSIONAL E TECNOLÓGICA </w:t>
    </w:r>
  </w:p>
  <w:p>
    <w:pPr>
      <w:pStyle w:val="LONormal"/>
      <w:widowControl w:val="false"/>
      <w:suppressAutoHyphens w:val="true"/>
      <w:bidi w:val="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rPr>
      <w:t xml:space="preserve">INSTITUTO FEDERAL DE EDUCAÇÃO, CIÊNCIAS E TECNOLOGIA DO SERTÃO PERNAMBUCANO </w:t>
    </w:r>
  </w:p>
  <w:p>
    <w:pPr>
      <w:pStyle w:val="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REITORIA / PROAD /DLIC/ CLIC</w:t>
    </w:r>
  </w:p>
  <w:p>
    <w:pPr>
      <w:pStyle w:val="LONormal"/>
      <w:widowControl w:val="false"/>
      <w:tabs>
        <w:tab w:val="center" w:pos="11737" w:leader="none"/>
      </w:tabs>
      <w:suppressAutoHyphens w:val="true"/>
      <w:bidi w:val="0"/>
      <w:spacing w:before="0" w:after="0"/>
      <w:ind w:left="0" w:right="227" w:hanging="0"/>
      <w:jc w:val="center"/>
      <w:textAlignment w:val="baseline"/>
      <w:rPr>
        <w:sz w:val="16"/>
        <w:szCs w:val="16"/>
      </w:rPr>
    </w:pPr>
    <w:r>
      <w:rPr>
        <w:rFonts w:eastAsia="Times New Roman" w:cs="Times New Roman" w:ascii="Times New Roman" w:hAnsi="Times New Roman"/>
        <w:b/>
        <w:color w:val="000000"/>
        <w:sz w:val="16"/>
        <w:szCs w:val="16"/>
        <w:lang w:val="pt-BR" w:eastAsia="hi-IN" w:bidi="ar-SA"/>
      </w:rPr>
      <w:t>EQUIPE DE APOIO AO PREGOEIRO</w:t>
    </w:r>
  </w:p>
  <w:p>
    <w:pPr>
      <w:pStyle w:val="Normal"/>
      <w:widowControl w:val="false"/>
      <w:tabs>
        <w:tab w:val="center" w:pos="11737" w:leader="none"/>
      </w:tabs>
      <w:suppressAutoHyphens w:val="true"/>
      <w:bidi w:val="0"/>
      <w:spacing w:before="0" w:after="0"/>
      <w:ind w:left="0" w:right="227" w:hanging="0"/>
      <w:jc w:val="center"/>
      <w:textAlignment w:val="baseline"/>
      <w:rPr/>
    </w:pPr>
    <w:r>
      <w:rPr>
        <w:rFonts w:eastAsia="Times New Roman" w:cs="Times New Roman" w:ascii="Times New Roman" w:hAnsi="Times New Roman"/>
        <w:b w:val="false"/>
        <w:bCs w:val="false"/>
        <w:color w:val="000000"/>
        <w:sz w:val="20"/>
        <w:szCs w:val="20"/>
        <w:lang w:val="pt-BR" w:eastAsia="hi-IN"/>
      </w:rPr>
      <w:t xml:space="preserve">Endereço: </w:t>
    </w:r>
    <w:r>
      <w:rPr>
        <w:rStyle w:val="Fontepargpadro1"/>
        <w:rFonts w:eastAsia="Times New Roman" w:cs="Arial" w:ascii="Times New Roman" w:hAnsi="Times New Roman"/>
        <w:b w:val="false"/>
        <w:bCs w:val="false"/>
        <w:iCs/>
        <w:color w:val="000000"/>
        <w:spacing w:val="0"/>
        <w:sz w:val="20"/>
        <w:szCs w:val="20"/>
        <w:u w:val="none"/>
        <w:lang w:val="pt-BR" w:eastAsia="pt-BR" w:bidi="ar-SA"/>
      </w:rPr>
      <w:t>Rua Aristarco Lopes, 240, Centro, Petrolina-PE</w:t>
    </w:r>
    <w:r>
      <w:rPr>
        <w:rStyle w:val="Fontepargpadro"/>
        <w:rFonts w:eastAsia="Arial" w:cs="Arial" w:ascii="Times New Roman" w:hAnsi="Times New Roman"/>
        <w:b w:val="false"/>
        <w:bCs w:val="false"/>
        <w:color w:val="000000"/>
        <w:spacing w:val="0"/>
        <w:sz w:val="20"/>
        <w:szCs w:val="20"/>
        <w:u w:val="none"/>
        <w:lang w:val="pt-BR" w:eastAsia="hi-IN"/>
      </w:rPr>
      <w:t>, CEP: 56302-100. TEL/FAX: (87) 2101-2350.</w:t>
    </w:r>
  </w:p>
  <w:p>
    <w:pPr>
      <w:pStyle w:val="Normal"/>
      <w:widowControl w:val="false"/>
      <w:tabs>
        <w:tab w:val="center" w:pos="11737" w:leader="none"/>
      </w:tabs>
      <w:suppressAutoHyphens w:val="true"/>
      <w:bidi w:val="0"/>
      <w:spacing w:before="0" w:after="0"/>
      <w:ind w:left="0" w:right="227" w:hanging="0"/>
      <w:jc w:val="center"/>
      <w:textAlignment w:val="baseline"/>
      <w:rPr/>
    </w:pPr>
    <w:r>
      <mc:AlternateContent>
        <mc:Choice Requires="wps">
          <w:drawing>
            <wp:anchor behindDoc="1" distT="0" distB="0" distL="0" distR="0" simplePos="0" locked="0" layoutInCell="1" allowOverlap="1" relativeHeight="166">
              <wp:simplePos x="0" y="0"/>
              <wp:positionH relativeFrom="column">
                <wp:posOffset>0</wp:posOffset>
              </wp:positionH>
              <wp:positionV relativeFrom="paragraph">
                <wp:posOffset>107315</wp:posOffset>
              </wp:positionV>
              <wp:extent cx="421005" cy="232410"/>
              <wp:effectExtent l="0" t="0" r="0" b="0"/>
              <wp:wrapTopAndBottom/>
              <wp:docPr id="7" name="Quadro1"/>
              <a:graphic xmlns:a="http://schemas.openxmlformats.org/drawingml/2006/main">
                <a:graphicData uri="http://schemas.microsoft.com/office/word/2010/wordprocessingShape">
                  <wps:wsp>
                    <wps:cNvSpPr/>
                    <wps:spPr>
                      <a:xfrm>
                        <a:off x="0" y="0"/>
                        <a:ext cx="420480" cy="231840"/>
                      </a:xfrm>
                      <a:prstGeom prst="rect">
                        <a:avLst/>
                      </a:prstGeom>
                      <a:noFill/>
                      <a:ln>
                        <a:noFill/>
                      </a:ln>
                    </wps:spPr>
                    <wps:style>
                      <a:lnRef idx="0"/>
                      <a:fillRef idx="0"/>
                      <a:effectRef idx="0"/>
                      <a:fontRef idx="minor"/>
                    </wps:style>
                    <wps:bodyPr/>
                  </wps:wsp>
                </a:graphicData>
              </a:graphic>
            </wp:anchor>
          </w:drawing>
        </mc:Choice>
        <mc:Fallback>
          <w:pict>
            <v:rect id="shape_0" ID="Quadro1" stroked="f" style="position:absolute;margin-left:0pt;margin-top:8.45pt;width:33.05pt;height:18.2pt">
              <w10:wrap type="none"/>
              <v:fill o:detectmouseclick="t" on="false"/>
              <v:stroke color="#3465a4" joinstyle="round" endcap="flat"/>
            </v:rect>
          </w:pict>
        </mc:Fallback>
      </mc:AlternateContent>
      <mc:AlternateContent>
        <mc:Choice Requires="wps">
          <w:drawing>
            <wp:anchor behindDoc="1" distT="0" distB="0" distL="0" distR="0" simplePos="0" locked="0" layoutInCell="1" allowOverlap="1" relativeHeight="221">
              <wp:simplePos x="0" y="0"/>
              <wp:positionH relativeFrom="column">
                <wp:posOffset>0</wp:posOffset>
              </wp:positionH>
              <wp:positionV relativeFrom="paragraph">
                <wp:posOffset>107315</wp:posOffset>
              </wp:positionV>
              <wp:extent cx="421005" cy="232410"/>
              <wp:effectExtent l="0" t="0" r="0" b="0"/>
              <wp:wrapNone/>
              <wp:docPr id="8" name="Quadro2"/>
              <a:graphic xmlns:a="http://schemas.openxmlformats.org/drawingml/2006/main">
                <a:graphicData uri="http://schemas.microsoft.com/office/word/2010/wordprocessingShape">
                  <wps:wsp>
                    <wps:cNvSpPr/>
                    <wps:spPr>
                      <a:xfrm>
                        <a:off x="0" y="0"/>
                        <a:ext cx="420480" cy="231840"/>
                      </a:xfrm>
                      <a:prstGeom prst="rect">
                        <a:avLst/>
                      </a:prstGeom>
                      <a:noFill/>
                      <a:ln>
                        <a:noFill/>
                      </a:ln>
                    </wps:spPr>
                    <wps:style>
                      <a:lnRef idx="0"/>
                      <a:fillRef idx="0"/>
                      <a:effectRef idx="0"/>
                      <a:fontRef idx="minor"/>
                    </wps:style>
                    <wps:txbx>
                      <w:txbxContent>
                        <w:p>
                          <w:pPr>
                            <w:pStyle w:val="Contedodoquadro"/>
                            <w:spacing w:before="0" w:after="200"/>
                            <w:rPr>
                              <w:color w:val="000000"/>
                            </w:rPr>
                          </w:pPr>
                          <w:r>
                            <w:rPr>
                              <w:color w:val="000000"/>
                            </w:rPr>
                          </w:r>
                        </w:p>
                      </w:txbxContent>
                    </wps:txbx>
                    <wps:bodyPr lIns="54000" rIns="54000" tIns="54000" bIns="54000">
                      <a:noAutofit/>
                    </wps:bodyPr>
                  </wps:wsp>
                </a:graphicData>
              </a:graphic>
            </wp:anchor>
          </w:drawing>
        </mc:Choice>
        <mc:Fallback>
          <w:pict>
            <v:rect id="shape_0" ID="Quadro2" stroked="f" style="position:absolute;margin-left:0pt;margin-top:8.45pt;width:33.05pt;height:18.2pt">
              <w10:wrap type="none"/>
              <v:fill o:detectmouseclick="t" on="false"/>
              <v:stroke color="#3465a4" joinstyle="round" endcap="flat"/>
              <v:textbox>
                <w:txbxContent>
                  <w:p>
                    <w:pPr>
                      <w:pStyle w:val="Contedodoquadro"/>
                      <w:spacing w:before="0" w:after="200"/>
                      <w:rPr>
                        <w:color w:val="000000"/>
                      </w:rPr>
                    </w:pPr>
                    <w:r>
                      <w:rPr>
                        <w:color w:val="000000"/>
                      </w:rPr>
                    </w:r>
                  </w:p>
                </w:txbxContent>
              </v:textbox>
            </v:rect>
          </w:pict>
        </mc:Fallback>
      </mc:AlternateContent>
    </w:r>
    <w:r>
      <w:rPr>
        <w:rStyle w:val="Fontepargpadro"/>
        <w:rFonts w:eastAsia="Arial" w:cs="Arial" w:ascii="Times New Roman" w:hAnsi="Times New Roman"/>
        <w:b w:val="false"/>
        <w:bCs w:val="false"/>
        <w:color w:val="000000"/>
        <w:spacing w:val="0"/>
        <w:sz w:val="20"/>
        <w:szCs w:val="20"/>
        <w:u w:val="none"/>
        <w:lang w:val="pt-BR" w:eastAsia="hi-IN"/>
      </w:rPr>
      <w:t>E-mail: licitacoes@ifsertao-pe.edu.br</w:t>
    </w:r>
  </w:p>
  <w:p>
    <w:pPr>
      <w:pStyle w:val="Normal"/>
      <w:spacing w:lineRule="atLeast" w:line="200" w:before="0" w:after="0"/>
      <w:ind w:left="426" w:right="0" w:hanging="0"/>
      <w:jc w:val="center"/>
      <w:rPr>
        <w:b/>
        <w:b/>
        <w:sz w:val="16"/>
        <w:szCs w:val="16"/>
      </w:rPr>
    </w:pPr>
    <w:r>
      <w:rPr>
        <w:b/>
        <w:sz w:val="16"/>
        <w:szCs w:val="16"/>
      </w:rPr>
    </w:r>
  </w:p>
  <w:p>
    <w:pPr>
      <w:pStyle w:val="Normal"/>
      <w:spacing w:lineRule="atLeast" w:line="200" w:before="0" w:after="0"/>
      <w:ind w:left="426" w:right="0" w:hanging="0"/>
      <w:jc w:val="center"/>
      <w:rPr>
        <w:b/>
        <w:b/>
        <w:sz w:val="16"/>
        <w:szCs w:val="16"/>
      </w:rPr>
    </w:pPr>
    <w:r>
      <w:rPr>
        <w:b/>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evenAndOddHeader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0"/>
        <w:szCs w:val="22"/>
        <w:lang w:val="pt-BR" w:eastAsia="pt-BR"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Segoe UI" w:cs="Tahoma"/>
      <w:color w:val="00000A"/>
      <w:sz w:val="22"/>
      <w:szCs w:val="22"/>
      <w:lang w:val="pt-BR" w:eastAsia="pt-BR" w:bidi="ar-SA"/>
    </w:rPr>
  </w:style>
  <w:style w:type="paragraph" w:styleId="Ttulo1">
    <w:name w:val="Heading 1"/>
    <w:basedOn w:val="Ttulo"/>
    <w:qFormat/>
    <w:pPr>
      <w:keepNext/>
      <w:keepLines/>
      <w:widowControl w:val="false"/>
      <w:bidi w:val="0"/>
      <w:spacing w:before="240" w:after="0"/>
      <w:jc w:val="left"/>
      <w:outlineLvl w:val="0"/>
    </w:pPr>
    <w:rPr>
      <w:rFonts w:ascii="Cambria" w:hAnsi="Cambria" w:eastAsia="Segoe UI" w:cs="Tahoma"/>
      <w:b/>
      <w:bCs/>
      <w:color w:val="365F91"/>
      <w:sz w:val="32"/>
      <w:szCs w:val="32"/>
      <w:lang w:val="pt-BR" w:eastAsia="pt-BR" w:bidi="ar-SA"/>
    </w:rPr>
  </w:style>
  <w:style w:type="paragraph" w:styleId="Ttulo2">
    <w:name w:val="Heading 2"/>
    <w:basedOn w:val="Ttulo"/>
    <w:qFormat/>
    <w:pPr>
      <w:keepNext/>
      <w:widowControl w:val="false"/>
      <w:tabs>
        <w:tab w:val="left" w:pos="1701" w:leader="none"/>
      </w:tabs>
      <w:bidi w:val="0"/>
      <w:ind w:left="0" w:right="-1" w:hanging="0"/>
      <w:jc w:val="center"/>
      <w:outlineLvl w:val="1"/>
    </w:pPr>
    <w:rPr>
      <w:rFonts w:ascii="Times New Roman" w:hAnsi="Times New Roman" w:eastAsia="Segoe UI" w:cs="Times New Roman"/>
      <w:b/>
      <w:bCs/>
      <w:i/>
      <w:iCs/>
      <w:color w:val="000000"/>
      <w:sz w:val="28"/>
      <w:szCs w:val="20"/>
      <w:lang w:val="pt-BR" w:eastAsia="pt-BR" w:bidi="ar-SA"/>
    </w:rPr>
  </w:style>
  <w:style w:type="paragraph" w:styleId="Ttulo3">
    <w:name w:val="Heading 3"/>
    <w:basedOn w:val="Normal"/>
    <w:next w:val="Normal"/>
    <w:qFormat/>
    <w:pPr>
      <w:keepNext/>
      <w:widowControl w:val="false"/>
      <w:tabs>
        <w:tab w:val="left" w:pos="0" w:leader="none"/>
        <w:tab w:val="left" w:pos="1560" w:leader="none"/>
        <w:tab w:val="left" w:pos="2694" w:leader="none"/>
      </w:tabs>
      <w:suppressAutoHyphens w:val="true"/>
      <w:spacing w:lineRule="auto" w:line="240" w:before="0" w:after="0"/>
      <w:jc w:val="center"/>
      <w:outlineLvl w:val="2"/>
    </w:pPr>
    <w:rPr>
      <w:rFonts w:ascii="Times New Roman" w:hAnsi="Times New Roman" w:eastAsia="SimSun" w:cs="Mangal"/>
      <w:b/>
      <w:sz w:val="24"/>
      <w:szCs w:val="20"/>
      <w:lang w:eastAsia="zh-CN" w:bidi="hi-IN"/>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dstrik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Arial" w:hAnsi="Arial" w:eastAsia="Calibri" w:cs="Tahoma"/>
      <w:i/>
      <w:iCs/>
      <w:color w:val="000000"/>
      <w:szCs w:val="24"/>
      <w:highlight w:val="yellow"/>
      <w:lang w:eastAsia="en-US"/>
    </w:rPr>
  </w:style>
  <w:style w:type="character" w:styleId="Citao2Char">
    <w:name w:val="citação 2 Char"/>
    <w:basedOn w:val="CitaoChar"/>
    <w:qFormat/>
    <w:rPr>
      <w:rFonts w:ascii="Arial" w:hAnsi="Arial" w:eastAsia="Calibri" w:cs="Tahoma"/>
      <w:i/>
      <w:iCs/>
      <w:color w:val="000000"/>
      <w:szCs w:val="24"/>
      <w:highlight w:val="yellow"/>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Nfase">
    <w:name w:val="Ênfase"/>
    <w:qFormat/>
    <w:rPr>
      <w:i/>
      <w:iCs/>
    </w:rPr>
  </w:style>
  <w:style w:type="character" w:styleId="Ttulo1Char">
    <w:name w:val="Título 1 Char"/>
    <w:basedOn w:val="DefaultParagraphFont"/>
    <w:qFormat/>
    <w:rPr>
      <w:rFonts w:ascii="Cambria" w:hAnsi="Cambria"/>
      <w:color w:val="365F91"/>
      <w:sz w:val="32"/>
      <w:szCs w:val="32"/>
    </w:rPr>
  </w:style>
  <w:style w:type="character" w:styleId="Nivel01Char">
    <w:name w:val="Nivel 01 Char"/>
    <w:basedOn w:val="DefaultParagraphFont"/>
    <w:qFormat/>
    <w:rPr>
      <w:rFonts w:ascii="Ecofont_Spranq_eco_Sans" w:hAnsi="Ecofont_Spranq_eco_Sans"/>
      <w:b/>
      <w:bCs/>
      <w:color w:val="000000"/>
    </w:rPr>
  </w:style>
  <w:style w:type="character" w:styleId="Nivel1Char">
    <w:name w:val="Nivel1 Char"/>
    <w:basedOn w:val="Ttulo1Char"/>
    <w:qFormat/>
    <w:rPr>
      <w:rFonts w:ascii="Arial" w:hAnsi="Arial" w:cs="Arial"/>
      <w:b/>
      <w:color w:val="000000"/>
      <w:sz w:val="32"/>
      <w:szCs w:val="32"/>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cs="Tahoma"/>
    </w:rPr>
  </w:style>
  <w:style w:type="character" w:styleId="ListLabel1">
    <w:name w:val="ListLabel 1"/>
    <w:qFormat/>
    <w:rPr>
      <w:b/>
    </w:rPr>
  </w:style>
  <w:style w:type="character" w:styleId="ListLabel2">
    <w:name w:val="ListLabel 2"/>
    <w:qFormat/>
    <w:rPr>
      <w:rFonts w:cs="Arial"/>
      <w:b w:val="false"/>
      <w:color w:val="00000A"/>
      <w:sz w:val="20"/>
      <w:szCs w:val="20"/>
    </w:rPr>
  </w:style>
  <w:style w:type="character" w:styleId="ListLabel3">
    <w:name w:val="ListLabel 3"/>
    <w:qFormat/>
    <w:rPr>
      <w:b w:val="false"/>
      <w:color w:val="00000A"/>
      <w:sz w:val="20"/>
      <w:szCs w:val="20"/>
    </w:rPr>
  </w:style>
  <w:style w:type="character" w:styleId="ListLabel4">
    <w:name w:val="ListLabel 4"/>
    <w:qFormat/>
    <w:rPr>
      <w:rFonts w:eastAsia="Arial Unicode MS"/>
    </w:rPr>
  </w:style>
  <w:style w:type="character" w:styleId="ListLabel5">
    <w:name w:val="ListLabel 5"/>
    <w:qFormat/>
    <w:rPr>
      <w:rFonts w:cs="Arial"/>
      <w:i/>
      <w:color w:val="FF0000"/>
    </w:rPr>
  </w:style>
  <w:style w:type="character" w:styleId="ListLabel6">
    <w:name w:val="ListLabel 6"/>
    <w:qFormat/>
    <w:rPr>
      <w:color w:val="0000FF"/>
    </w:rPr>
  </w:style>
  <w:style w:type="character" w:styleId="ListLabel7">
    <w:name w:val="ListLabel 7"/>
    <w:qFormat/>
    <w:rPr>
      <w:b w:val="false"/>
    </w:rPr>
  </w:style>
  <w:style w:type="character" w:styleId="ListLabel8">
    <w:name w:val="ListLabel 8"/>
    <w:qFormat/>
    <w:rPr>
      <w:b/>
      <w:i w:val="false"/>
    </w:rPr>
  </w:style>
  <w:style w:type="character" w:styleId="ListLabel9">
    <w:name w:val="ListLabel 9"/>
    <w:qFormat/>
    <w:rPr>
      <w:b/>
      <w:i w:val="false"/>
      <w:color w:val="00000A"/>
    </w:rPr>
  </w:style>
  <w:style w:type="character" w:styleId="ListLabel10">
    <w:name w:val="ListLabel 10"/>
    <w:qFormat/>
    <w:rPr>
      <w:sz w:val="20"/>
      <w:szCs w:val="20"/>
    </w:rPr>
  </w:style>
  <w:style w:type="character" w:styleId="ListLabel11">
    <w:name w:val="ListLabel 11"/>
    <w:qFormat/>
    <w:rPr>
      <w:b w:val="false"/>
      <w:sz w:val="20"/>
      <w:szCs w:val="20"/>
    </w:rPr>
  </w:style>
  <w:style w:type="character" w:styleId="ListLabel12">
    <w:name w:val="ListLabel 12"/>
    <w:qFormat/>
    <w:rPr>
      <w:b/>
    </w:rPr>
  </w:style>
  <w:style w:type="character" w:styleId="ListLabel13">
    <w:name w:val="ListLabel 13"/>
    <w:qFormat/>
    <w:rPr>
      <w:b w:val="false"/>
      <w:color w:val="00000A"/>
      <w:sz w:val="20"/>
      <w:szCs w:val="20"/>
    </w:rPr>
  </w:style>
  <w:style w:type="character" w:styleId="ListLabel14">
    <w:name w:val="ListLabel 14"/>
    <w:qFormat/>
    <w:rPr>
      <w:sz w:val="20"/>
      <w:szCs w:val="20"/>
    </w:rPr>
  </w:style>
  <w:style w:type="character" w:styleId="ListLabel15">
    <w:name w:val="ListLabel 15"/>
    <w:qFormat/>
    <w:rPr>
      <w:b/>
    </w:rPr>
  </w:style>
  <w:style w:type="character" w:styleId="ListLabel16">
    <w:name w:val="ListLabel 16"/>
    <w:qFormat/>
    <w:rPr>
      <w:b w:val="false"/>
      <w:color w:val="00000A"/>
      <w:sz w:val="20"/>
      <w:szCs w:val="20"/>
    </w:rPr>
  </w:style>
  <w:style w:type="character" w:styleId="ListLabel17">
    <w:name w:val="ListLabel 17"/>
    <w:qFormat/>
    <w:rPr>
      <w:sz w:val="20"/>
      <w:szCs w:val="20"/>
    </w:rPr>
  </w:style>
  <w:style w:type="character" w:styleId="ListLabel18">
    <w:name w:val="ListLabel 18"/>
    <w:qFormat/>
    <w:rPr>
      <w:b/>
    </w:rPr>
  </w:style>
  <w:style w:type="character" w:styleId="ListLabel19">
    <w:name w:val="ListLabel 19"/>
    <w:qFormat/>
    <w:rPr>
      <w:b w:val="false"/>
      <w:color w:val="00000A"/>
      <w:sz w:val="20"/>
      <w:szCs w:val="20"/>
    </w:rPr>
  </w:style>
  <w:style w:type="character" w:styleId="ListLabel20">
    <w:name w:val="ListLabel 20"/>
    <w:qFormat/>
    <w:rPr>
      <w:sz w:val="20"/>
      <w:szCs w:val="20"/>
    </w:rPr>
  </w:style>
  <w:style w:type="character" w:styleId="SubtleEmphasis">
    <w:name w:val="Subtle Emphasis"/>
    <w:basedOn w:val="DefaultParagraphFont"/>
    <w:qFormat/>
    <w:rPr>
      <w:i/>
      <w:iCs/>
      <w:color w:val="808080"/>
    </w:rPr>
  </w:style>
  <w:style w:type="character" w:styleId="Nfaseforte">
    <w:name w:val="Ênfase forte"/>
    <w:qFormat/>
    <w:rPr>
      <w:b/>
      <w:bCs/>
    </w:rPr>
  </w:style>
  <w:style w:type="character" w:styleId="Ttulo3Char">
    <w:name w:val="Título 3 Char"/>
    <w:basedOn w:val="DefaultParagraphFont"/>
    <w:qFormat/>
    <w:rPr>
      <w:rFonts w:ascii="Times New Roman" w:hAnsi="Times New Roman" w:eastAsia="SimSun" w:cs="Mangal"/>
      <w:b/>
      <w:sz w:val="24"/>
      <w:szCs w:val="20"/>
      <w:lang w:eastAsia="zh-CN" w:bidi="hi-IN"/>
    </w:rPr>
  </w:style>
  <w:style w:type="character" w:styleId="WW8Num2z0">
    <w:name w:val="WW8Num2z0"/>
    <w:qFormat/>
    <w:rPr/>
  </w:style>
  <w:style w:type="character" w:styleId="WW8Num3z1">
    <w:name w:val="WW8Num3z1"/>
    <w:qFormat/>
    <w:rPr>
      <w:rFonts w:ascii="OpenSymbol" w:hAnsi="OpenSymbol" w:cs="OpenSymbol"/>
    </w:rPr>
  </w:style>
  <w:style w:type="character" w:styleId="WW8Num3z2">
    <w:name w:val="WW8Num3z2"/>
    <w:qFormat/>
    <w:rPr>
      <w:b/>
      <w:sz w:val="20"/>
      <w:szCs w:val="20"/>
    </w:rPr>
  </w:style>
  <w:style w:type="character" w:styleId="WW8Num4z0">
    <w:name w:val="WW8Num4z0"/>
    <w:qFormat/>
    <w:rPr/>
  </w:style>
  <w:style w:type="character" w:styleId="WW8Num4z1">
    <w:name w:val="WW8Num4z1"/>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7z1">
    <w:name w:val="WW8Num7z1"/>
    <w:qFormat/>
    <w:rPr/>
  </w:style>
  <w:style w:type="character" w:styleId="WW8Num7z2">
    <w:name w:val="WW8Num7z2"/>
    <w:qFormat/>
    <w:rPr/>
  </w:style>
  <w:style w:type="character" w:styleId="AbsatzStandardschriftart">
    <w:name w:val="Absatz-Standardschriftart"/>
    <w:qFormat/>
    <w:rPr/>
  </w:style>
  <w:style w:type="character" w:styleId="WW8Num1z0">
    <w:name w:val="WW8Num1z0"/>
    <w:qFormat/>
    <w:rPr/>
  </w:style>
  <w:style w:type="character" w:styleId="WW8Num1z2">
    <w:name w:val="WW8Num1z2"/>
    <w:qFormat/>
    <w:rPr>
      <w:rFonts w:eastAsia="Verdana" w:cs="Times New Roman"/>
      <w:b/>
      <w:szCs w:val="24"/>
    </w:rPr>
  </w:style>
  <w:style w:type="character" w:styleId="WW8Num1z3">
    <w:name w:val="WW8Num1z3"/>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11z0">
    <w:name w:val="WW8Num11z0"/>
    <w:qFormat/>
    <w:rPr>
      <w:rFonts w:ascii="Symbol" w:hAnsi="Symbol" w:cs="Symbol"/>
    </w:rPr>
  </w:style>
  <w:style w:type="character" w:styleId="WW8Num13z1">
    <w:name w:val="WW8Num13z1"/>
    <w:qFormat/>
    <w:rPr>
      <w:b/>
      <w:i w:val="false"/>
      <w:color w:val="00000A"/>
      <w:sz w:val="20"/>
      <w:szCs w:val="20"/>
    </w:rPr>
  </w:style>
  <w:style w:type="character" w:styleId="WW8Num13z2">
    <w:name w:val="WW8Num13z2"/>
    <w:qFormat/>
    <w:rPr>
      <w:b/>
      <w:sz w:val="20"/>
      <w:szCs w:val="20"/>
    </w:rPr>
  </w:style>
  <w:style w:type="character" w:styleId="WW8Num14z0">
    <w:name w:val="WW8Num14z0"/>
    <w:qFormat/>
    <w:rPr>
      <w:b/>
      <w:i w:val="false"/>
      <w:sz w:val="20"/>
    </w:rPr>
  </w:style>
  <w:style w:type="character" w:styleId="WW8Num14z1">
    <w:name w:val="WW8Num14z1"/>
    <w:qFormat/>
    <w:rPr>
      <w:b/>
      <w:i w:val="false"/>
      <w:color w:val="00000A"/>
      <w:sz w:val="20"/>
    </w:rPr>
  </w:style>
  <w:style w:type="character" w:styleId="WW8Num15z1">
    <w:name w:val="WW8Num15z1"/>
    <w:qFormat/>
    <w:rPr>
      <w:rFonts w:ascii="OpenSymbol" w:hAnsi="OpenSymbol" w:cs="OpenSymbol"/>
    </w:rPr>
  </w:style>
  <w:style w:type="character" w:styleId="WW8Num15z2">
    <w:name w:val="WW8Num15z2"/>
    <w:qFormat/>
    <w:rPr>
      <w:b/>
      <w:i w:val="false"/>
      <w:color w:val="00000A"/>
      <w:sz w:val="20"/>
      <w:szCs w:val="20"/>
    </w:rPr>
  </w:style>
  <w:style w:type="character" w:styleId="WW8Num15z3">
    <w:name w:val="WW8Num15z3"/>
    <w:qFormat/>
    <w:rPr>
      <w:color w:val="00000A"/>
    </w:rPr>
  </w:style>
  <w:style w:type="character" w:styleId="WW8Num16z0">
    <w:name w:val="WW8Num16z0"/>
    <w:qFormat/>
    <w:rPr>
      <w:rFonts w:ascii="Wingdings 2" w:hAnsi="Wingdings 2" w:cs="Wingdings 2"/>
      <w:b/>
      <w:i w:val="false"/>
    </w:rPr>
  </w:style>
  <w:style w:type="character" w:styleId="WW8Num16z1">
    <w:name w:val="WW8Num16z1"/>
    <w:qFormat/>
    <w:rPr>
      <w:rFonts w:ascii="OpenSymbol" w:hAnsi="OpenSymbol" w:cs="OpenSymbol"/>
      <w:b w:val="false"/>
      <w:i w:val="false"/>
      <w:color w:val="000000"/>
    </w:rPr>
  </w:style>
  <w:style w:type="character" w:styleId="WW8Num18z2">
    <w:name w:val="WW8Num18z2"/>
    <w:qFormat/>
    <w:rPr>
      <w:b w:val="false"/>
      <w:i w:val="false"/>
      <w:color w:val="00000A"/>
    </w:rPr>
  </w:style>
  <w:style w:type="character" w:styleId="WW8Num20z2">
    <w:name w:val="WW8Num20z2"/>
    <w:qFormat/>
    <w:rPr>
      <w:b w:val="false"/>
      <w:i w:val="false"/>
      <w:color w:val="00000A"/>
    </w:rPr>
  </w:style>
  <w:style w:type="character" w:styleId="WW8Num22z1">
    <w:name w:val="WW8Num22z1"/>
    <w:qFormat/>
    <w:rPr>
      <w:rFonts w:cs="Times New Roman"/>
      <w:b/>
      <w:i w:val="false"/>
      <w:color w:val="00000A"/>
      <w:sz w:val="20"/>
      <w:szCs w:val="20"/>
    </w:rPr>
  </w:style>
  <w:style w:type="character" w:styleId="WW8Num22z2">
    <w:name w:val="WW8Num22z2"/>
    <w:qFormat/>
    <w:rPr>
      <w:b/>
      <w:sz w:val="20"/>
      <w:szCs w:val="20"/>
    </w:rPr>
  </w:style>
  <w:style w:type="character" w:styleId="WW8Num23z0">
    <w:name w:val="WW8Num23z0"/>
    <w:qFormat/>
    <w:rPr>
      <w:rFonts w:eastAsia="Arial Unicode MS"/>
    </w:rPr>
  </w:style>
  <w:style w:type="character" w:styleId="WW8Num24z0">
    <w:name w:val="WW8Num24z0"/>
    <w:qFormat/>
    <w:rPr>
      <w:b/>
    </w:rPr>
  </w:style>
  <w:style w:type="character" w:styleId="WW8Num24z1">
    <w:name w:val="WW8Num24z1"/>
    <w:qFormat/>
    <w:rPr>
      <w:rFonts w:ascii="Arial" w:hAnsi="Arial" w:cs="Arial"/>
      <w:b w:val="false"/>
      <w:color w:val="00000A"/>
      <w:sz w:val="20"/>
      <w:szCs w:val="20"/>
    </w:rPr>
  </w:style>
  <w:style w:type="character" w:styleId="WW8Num24z2">
    <w:name w:val="WW8Num24z2"/>
    <w:qFormat/>
    <w:rPr>
      <w:b w:val="false"/>
      <w:color w:val="00000A"/>
      <w:sz w:val="20"/>
      <w:szCs w:val="20"/>
    </w:rPr>
  </w:style>
  <w:style w:type="character" w:styleId="WW8Num25z0">
    <w:name w:val="WW8Num25z0"/>
    <w:qFormat/>
    <w:rPr>
      <w:rFonts w:cs="Times New Roman"/>
      <w:b/>
      <w:iCs/>
      <w:sz w:val="22"/>
      <w:szCs w:val="22"/>
    </w:rPr>
  </w:style>
  <w:style w:type="character" w:styleId="WW8Num25z1">
    <w:name w:val="WW8Num25z1"/>
    <w:qFormat/>
    <w:rPr>
      <w:rFonts w:eastAsia="Arial" w:cs="Times New Roman"/>
      <w:b/>
      <w:bCs/>
      <w:i w:val="false"/>
      <w:iCs/>
      <w:color w:val="00000A"/>
      <w:sz w:val="20"/>
      <w:szCs w:val="20"/>
    </w:rPr>
  </w:style>
  <w:style w:type="character" w:styleId="WW8Num25z2">
    <w:name w:val="WW8Num25z2"/>
    <w:qFormat/>
    <w:rPr>
      <w:b/>
      <w:sz w:val="20"/>
      <w:szCs w:val="20"/>
    </w:rPr>
  </w:style>
  <w:style w:type="character" w:styleId="WW8Num26z0">
    <w:name w:val="WW8Num26z0"/>
    <w:qFormat/>
    <w:rPr>
      <w:b/>
      <w:i w:val="false"/>
    </w:rPr>
  </w:style>
  <w:style w:type="character" w:styleId="WW8Num26z1">
    <w:name w:val="WW8Num26z1"/>
    <w:qFormat/>
    <w:rPr>
      <w:b/>
      <w:i w:val="false"/>
      <w:color w:val="00000A"/>
    </w:rPr>
  </w:style>
  <w:style w:type="character" w:styleId="WW8Num26z2">
    <w:name w:val="WW8Num26z2"/>
    <w:qFormat/>
    <w:rPr>
      <w:b w:val="false"/>
      <w:i w:val="false"/>
    </w:rPr>
  </w:style>
  <w:style w:type="character" w:styleId="WW8Num29z0">
    <w:name w:val="WW8Num29z0"/>
    <w:qFormat/>
    <w:rPr>
      <w:color w:val="0000FF"/>
    </w:rPr>
  </w:style>
  <w:style w:type="character" w:styleId="WW8Num30z0">
    <w:name w:val="WW8Num30z0"/>
    <w:qFormat/>
    <w:rPr>
      <w:b w:val="false"/>
    </w:rPr>
  </w:style>
  <w:style w:type="character" w:styleId="WW8Num32z0">
    <w:name w:val="WW8Num32z0"/>
    <w:qFormat/>
    <w:rPr>
      <w:rFonts w:ascii="Ecofont_Spranq_eco_Sans" w:hAnsi="Ecofont_Spranq_eco_Sans" w:cs="Arial"/>
      <w:i/>
      <w:color w:val="FF0000"/>
    </w:rPr>
  </w:style>
  <w:style w:type="character" w:styleId="WW8Num34z0">
    <w:name w:val="WW8Num34z0"/>
    <w:qFormat/>
    <w:rPr>
      <w:b/>
    </w:rPr>
  </w:style>
  <w:style w:type="character" w:styleId="WW8Num34z1">
    <w:name w:val="WW8Num34z1"/>
    <w:qFormat/>
    <w:rPr>
      <w:b w:val="false"/>
      <w:i w:val="false"/>
      <w:color w:val="00000A"/>
    </w:rPr>
  </w:style>
  <w:style w:type="character" w:styleId="WW8Num35z0">
    <w:name w:val="WW8Num35z0"/>
    <w:qFormat/>
    <w:rPr>
      <w:iCs/>
      <w:lang w:val="pt-BR"/>
    </w:rPr>
  </w:style>
  <w:style w:type="character" w:styleId="WW8Num35z1">
    <w:name w:val="WW8Num35z1"/>
    <w:qFormat/>
    <w:rPr>
      <w:rFonts w:cs="Times New Roman"/>
      <w:b/>
      <w:bCs/>
      <w:i w:val="false"/>
      <w:iCs/>
      <w:color w:val="00000A"/>
      <w:sz w:val="20"/>
      <w:szCs w:val="20"/>
    </w:rPr>
  </w:style>
  <w:style w:type="character" w:styleId="WW8Num35z2">
    <w:name w:val="WW8Num35z2"/>
    <w:qFormat/>
    <w:rPr>
      <w:rFonts w:cs="Times New Roman"/>
      <w:b/>
      <w:iCs/>
      <w:sz w:val="20"/>
      <w:szCs w:val="20"/>
    </w:rPr>
  </w:style>
  <w:style w:type="character" w:styleId="WW8Num37z1">
    <w:name w:val="WW8Num37z1"/>
    <w:qFormat/>
    <w:rPr>
      <w:b/>
      <w:i w:val="false"/>
      <w:color w:val="00000A"/>
      <w:sz w:val="20"/>
      <w:szCs w:val="20"/>
    </w:rPr>
  </w:style>
  <w:style w:type="character" w:styleId="WW8Num37z2">
    <w:name w:val="WW8Num37z2"/>
    <w:qFormat/>
    <w:rPr>
      <w:b/>
      <w:sz w:val="20"/>
      <w:szCs w:val="20"/>
    </w:rPr>
  </w:style>
  <w:style w:type="character" w:styleId="WW8Num38z2">
    <w:name w:val="WW8Num38z2"/>
    <w:qFormat/>
    <w:rPr>
      <w:b w:val="false"/>
      <w:i w:val="false"/>
      <w:color w:val="00000A"/>
    </w:rPr>
  </w:style>
  <w:style w:type="character" w:styleId="WW8Num39z0">
    <w:name w:val="WW8Num39z0"/>
    <w:qFormat/>
    <w:rPr>
      <w:b/>
      <w:i w:val="false"/>
    </w:rPr>
  </w:style>
  <w:style w:type="character" w:styleId="WW8Num39z1">
    <w:name w:val="WW8Num39z1"/>
    <w:qFormat/>
    <w:rPr>
      <w:b/>
      <w:i w:val="false"/>
      <w:color w:val="00000A"/>
    </w:rPr>
  </w:style>
  <w:style w:type="character" w:styleId="WW8Num40z0">
    <w:name w:val="WW8Num40z0"/>
    <w:qFormat/>
    <w:rPr>
      <w:rFonts w:cs="Times New Roman"/>
      <w:b/>
      <w:i w:val="false"/>
      <w:sz w:val="20"/>
      <w:szCs w:val="22"/>
    </w:rPr>
  </w:style>
  <w:style w:type="character" w:styleId="WW8Num40z1">
    <w:name w:val="WW8Num40z1"/>
    <w:qFormat/>
    <w:rPr>
      <w:rFonts w:cs="Times New Roman"/>
      <w:b/>
      <w:bCs/>
      <w:i w:val="false"/>
      <w:iCs/>
      <w:color w:val="00000A"/>
      <w:sz w:val="20"/>
      <w:szCs w:val="22"/>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2z2">
    <w:name w:val="WW8Num42z2"/>
    <w:qFormat/>
    <w:rPr>
      <w:b w:val="false"/>
      <w:i w:val="false"/>
      <w:color w:val="00000A"/>
    </w:rPr>
  </w:style>
  <w:style w:type="character" w:styleId="WW8Num43z1">
    <w:name w:val="WW8Num43z1"/>
    <w:qFormat/>
    <w:rPr>
      <w:b/>
      <w:i w:val="false"/>
      <w:color w:val="00000A"/>
      <w:sz w:val="20"/>
      <w:szCs w:val="20"/>
    </w:rPr>
  </w:style>
  <w:style w:type="character" w:styleId="WW8Num43z2">
    <w:name w:val="WW8Num43z2"/>
    <w:qFormat/>
    <w:rPr>
      <w:b/>
      <w:sz w:val="20"/>
      <w:szCs w:val="20"/>
    </w:rPr>
  </w:style>
  <w:style w:type="character" w:styleId="WW8Num44z0">
    <w:name w:val="WW8Num44z0"/>
    <w:qFormat/>
    <w:rPr>
      <w:bCs/>
      <w:iCs/>
    </w:rPr>
  </w:style>
  <w:style w:type="character" w:styleId="WW8Num44z1">
    <w:name w:val="WW8Num44z1"/>
    <w:qFormat/>
    <w:rPr>
      <w:rFonts w:eastAsia="Zurich BT" w:cs="Times New Roman"/>
      <w:b/>
      <w:bCs/>
      <w:iCs/>
      <w:sz w:val="20"/>
      <w:szCs w:val="20"/>
    </w:rPr>
  </w:style>
  <w:style w:type="character" w:styleId="WW8Num44z2">
    <w:name w:val="WW8Num44z2"/>
    <w:qFormat/>
    <w:rPr>
      <w:rFonts w:eastAsia="Arial Unicode MS" w:cs="Times New Roman"/>
      <w:b/>
      <w:bCs/>
      <w:i w:val="false"/>
      <w:iCs w:val="false"/>
      <w:color w:val="000000"/>
      <w:sz w:val="20"/>
      <w:szCs w:val="20"/>
    </w:rPr>
  </w:style>
  <w:style w:type="character" w:styleId="WW8Num44z3">
    <w:name w:val="WW8Num44z3"/>
    <w:qFormat/>
    <w:rPr>
      <w:rFonts w:cs="Times New Roman"/>
      <w:b/>
      <w:bCs/>
      <w:i w:val="false"/>
      <w:iCs w:val="false"/>
      <w:sz w:val="22"/>
      <w:szCs w:val="22"/>
    </w:rPr>
  </w:style>
  <w:style w:type="character" w:styleId="Fontepargpadro2">
    <w:name w:val="Fonte parág. padrão2"/>
    <w:qFormat/>
    <w:rPr/>
  </w:style>
  <w:style w:type="character" w:styleId="WW8Num1z1">
    <w:name w:val="WW8Num1z1"/>
    <w:qFormat/>
    <w:rPr>
      <w:rFonts w:eastAsia="Verdana" w:cs="Times New Roman"/>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8Num15z0">
    <w:name w:val="WW8Num15z0"/>
    <w:qFormat/>
    <w:rPr>
      <w:rFonts w:ascii="Symbol" w:hAnsi="Symbol" w:cs="OpenSymbol"/>
    </w:rPr>
  </w:style>
  <w:style w:type="character" w:styleId="Fontepargpadro1">
    <w:name w:val="Fonte parág. padrão1"/>
    <w:qFormat/>
    <w:rPr/>
  </w:style>
  <w:style w:type="character" w:styleId="RTFNum21">
    <w:name w:val="RTF_Num 2 1"/>
    <w:qFormat/>
    <w:rPr>
      <w:rFonts w:ascii="Symbol" w:hAnsi="Symbol" w:cs="Symbol"/>
    </w:rPr>
  </w:style>
  <w:style w:type="character" w:styleId="Marcas">
    <w:name w:val="Marcas"/>
    <w:qFormat/>
    <w:rPr>
      <w:rFonts w:ascii="OpenSymbol" w:hAnsi="OpenSymbol" w:eastAsia="OpenSymbol" w:cs="OpenSymbol"/>
    </w:rPr>
  </w:style>
  <w:style w:type="character" w:styleId="Smbolosdenumerao">
    <w:name w:val="Símbolos de numeração"/>
    <w:qFormat/>
    <w:rPr/>
  </w:style>
  <w:style w:type="character" w:styleId="RTFNum31">
    <w:name w:val="RTF_Num 3 1"/>
    <w:qFormat/>
    <w:rPr>
      <w:rFonts w:ascii="Symbol" w:hAnsi="Symbol" w:cs="Symbol"/>
    </w:rPr>
  </w:style>
  <w:style w:type="character" w:styleId="RTFNum41">
    <w:name w:val="RTF_Num 4 1"/>
    <w:qFormat/>
    <w:rPr>
      <w:rFonts w:ascii="Symbol" w:hAnsi="Symbol" w:cs="Symbol"/>
    </w:rPr>
  </w:style>
  <w:style w:type="character" w:styleId="WWRTFNum21">
    <w:name w:val="WW-RTF_Num 2 1"/>
    <w:qFormat/>
    <w:rPr>
      <w:rFonts w:ascii="Symbol" w:hAnsi="Symbol" w:cs="Symbol"/>
    </w:rPr>
  </w:style>
  <w:style w:type="character" w:styleId="Character20style">
    <w:name w:val="Character_20_style"/>
    <w:qFormat/>
    <w:rPr/>
  </w:style>
  <w:style w:type="character" w:styleId="Strong">
    <w:name w:val="Strong"/>
    <w:qFormat/>
    <w:rPr>
      <w:b/>
      <w:bCs/>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Internetlink">
    <w:name w:val="Internet link"/>
    <w:qFormat/>
    <w:rPr>
      <w:color w:val="000080"/>
      <w:u w:val="single"/>
    </w:rPr>
  </w:style>
  <w:style w:type="character" w:styleId="FollowedHyperlink">
    <w:name w:val="FollowedHyperlink"/>
    <w:qFormat/>
    <w:rPr>
      <w:color w:val="800080"/>
      <w:u w:val="single"/>
    </w:rPr>
  </w:style>
  <w:style w:type="character" w:styleId="GradeColoridanfase1Char">
    <w:name w:val="Grade Colorida - Ênfase 1 Char"/>
    <w:qFormat/>
    <w:rPr>
      <w:rFonts w:eastAsia="Calibri"/>
      <w:i/>
      <w:iCs/>
      <w:color w:val="000000"/>
      <w:szCs w:val="24"/>
      <w:highlight w:val="yellow"/>
      <w:lang w:bidi="hi-IN"/>
    </w:rPr>
  </w:style>
  <w:style w:type="character" w:styleId="Refdecomentrio1">
    <w:name w:val="Ref. de comentário1"/>
    <w:qFormat/>
    <w:rPr>
      <w:sz w:val="18"/>
      <w:szCs w:val="18"/>
    </w:rPr>
  </w:style>
  <w:style w:type="character" w:styleId="Appleconvertedspace">
    <w:name w:val="apple-converted-space"/>
    <w:qFormat/>
    <w:rPr/>
  </w:style>
  <w:style w:type="character" w:styleId="SubttuloChar">
    <w:name w:val="Subtítulo Char"/>
    <w:basedOn w:val="DefaultParagraphFont"/>
    <w:qFormat/>
    <w:rPr>
      <w:rFonts w:ascii="Arial" w:hAnsi="Arial" w:eastAsia="SimSun" w:cs="Mangal"/>
      <w:i/>
      <w:iCs/>
      <w:sz w:val="28"/>
      <w:szCs w:val="28"/>
      <w:lang w:eastAsia="zh-CN" w:bidi="hi-IN"/>
    </w:rPr>
  </w:style>
  <w:style w:type="character" w:styleId="ListLabel21">
    <w:name w:val="ListLabel 21"/>
    <w:qFormat/>
    <w:rPr>
      <w:rFonts w:ascii="Times New Roman" w:hAnsi="Times New Roman"/>
      <w:b/>
      <w:sz w:val="22"/>
    </w:rPr>
  </w:style>
  <w:style w:type="character" w:styleId="ListLabel22">
    <w:name w:val="ListLabel 22"/>
    <w:qFormat/>
    <w:rPr>
      <w:rFonts w:ascii="Times New Roman" w:hAnsi="Times New Roman"/>
      <w:b w:val="false"/>
      <w:color w:val="00000A"/>
      <w:sz w:val="22"/>
      <w:szCs w:val="20"/>
    </w:rPr>
  </w:style>
  <w:style w:type="character" w:styleId="ListLabel23">
    <w:name w:val="ListLabel 23"/>
    <w:qFormat/>
    <w:rPr>
      <w:rFonts w:ascii="Times New Roman" w:hAnsi="Times New Roman"/>
      <w:b w:val="false"/>
      <w:color w:val="00000A"/>
      <w:sz w:val="22"/>
      <w:szCs w:val="20"/>
    </w:rPr>
  </w:style>
  <w:style w:type="character" w:styleId="ListLabel24">
    <w:name w:val="ListLabel 24"/>
    <w:qFormat/>
    <w:rPr>
      <w:sz w:val="20"/>
      <w:szCs w:val="20"/>
    </w:rPr>
  </w:style>
  <w:style w:type="character" w:styleId="ListLabel25">
    <w:name w:val="ListLabel 25"/>
    <w:qFormat/>
    <w:rPr>
      <w:b/>
    </w:rPr>
  </w:style>
  <w:style w:type="character" w:styleId="ListLabel26">
    <w:name w:val="ListLabel 26"/>
    <w:qFormat/>
    <w:rPr>
      <w:rFonts w:ascii="Times New Roman" w:hAnsi="Times New Roman"/>
      <w:b w:val="false"/>
      <w:color w:val="00000A"/>
      <w:sz w:val="22"/>
      <w:szCs w:val="20"/>
    </w:rPr>
  </w:style>
  <w:style w:type="character" w:styleId="ListLabel27">
    <w:name w:val="ListLabel 27"/>
    <w:qFormat/>
    <w:rPr>
      <w:rFonts w:ascii="Times New Roman" w:hAnsi="Times New Roman"/>
      <w:b w:val="false"/>
      <w:color w:val="00000A"/>
      <w:sz w:val="22"/>
      <w:szCs w:val="20"/>
    </w:rPr>
  </w:style>
  <w:style w:type="character" w:styleId="ListLabel28">
    <w:name w:val="ListLabel 28"/>
    <w:qFormat/>
    <w:rPr>
      <w:rFonts w:eastAsia="TimesNewRomanPSMT, 'MS Mincho'" w:cs="Arial"/>
      <w:b/>
      <w:bCs/>
      <w:color w:val="000000"/>
    </w:rPr>
  </w:style>
  <w:style w:type="character" w:styleId="ListLabel29">
    <w:name w:val="ListLabel 29"/>
    <w:qFormat/>
    <w:rPr>
      <w:rFonts w:eastAsia="TimesNewRomanPSMT, 'MS Mincho'" w:cs="Arial"/>
      <w:b/>
      <w:bCs/>
      <w:color w:val="000000"/>
    </w:rPr>
  </w:style>
  <w:style w:type="character" w:styleId="ListLabel30">
    <w:name w:val="ListLabel 30"/>
    <w:qFormat/>
    <w:rPr>
      <w:rFonts w:eastAsia="TimesNewRomanPSMT, 'MS Mincho'" w:cs="Arial"/>
      <w:b/>
      <w:bCs/>
      <w:color w:val="000000"/>
    </w:rPr>
  </w:style>
  <w:style w:type="character" w:styleId="ListLabel31">
    <w:name w:val="ListLabel 31"/>
    <w:qFormat/>
    <w:rPr>
      <w:rFonts w:eastAsia="TimesNewRomanPSMT, 'MS Mincho'" w:cs="Arial"/>
      <w:b/>
      <w:bCs/>
      <w:color w:val="000000"/>
    </w:rPr>
  </w:style>
  <w:style w:type="character" w:styleId="ListLabel32">
    <w:name w:val="ListLabel 32"/>
    <w:qFormat/>
    <w:rPr>
      <w:rFonts w:eastAsia="TimesNewRomanPSMT, 'MS Mincho'" w:cs="Arial"/>
      <w:b/>
      <w:bCs/>
      <w:color w:val="000000"/>
    </w:rPr>
  </w:style>
  <w:style w:type="character" w:styleId="ListLabel33">
    <w:name w:val="ListLabel 33"/>
    <w:qFormat/>
    <w:rPr>
      <w:rFonts w:eastAsia="TimesNewRomanPSMT, 'MS Mincho'" w:cs="Arial"/>
      <w:b/>
      <w:bCs/>
      <w:color w:val="000000"/>
    </w:rPr>
  </w:style>
  <w:style w:type="character" w:styleId="ListLabel34">
    <w:name w:val="ListLabel 34"/>
    <w:qFormat/>
    <w:rPr>
      <w:rFonts w:eastAsia="TimesNewRomanPSMT, 'MS Mincho'" w:cs="Arial"/>
      <w:b/>
      <w:bCs/>
      <w:color w:val="000000"/>
    </w:rPr>
  </w:style>
  <w:style w:type="character" w:styleId="ListLabel35">
    <w:name w:val="ListLabel 35"/>
    <w:qFormat/>
    <w:rPr>
      <w:rFonts w:eastAsia="TimesNewRomanPSMT, 'MS Mincho'" w:cs="Arial"/>
      <w:b/>
      <w:bCs/>
      <w:color w:val="000000"/>
    </w:rPr>
  </w:style>
  <w:style w:type="character" w:styleId="ListLabel36">
    <w:name w:val="ListLabel 36"/>
    <w:qFormat/>
    <w:rPr>
      <w:rFonts w:ascii="Times New Roman" w:hAnsi="Times New Roman"/>
      <w:b/>
    </w:rPr>
  </w:style>
  <w:style w:type="character" w:styleId="ListLabel37">
    <w:name w:val="ListLabel 37"/>
    <w:qFormat/>
    <w:rPr>
      <w:rFonts w:ascii="Times New Roman" w:hAnsi="Times New Roman"/>
      <w:b/>
      <w:bCs/>
      <w:i w:val="false"/>
      <w:color w:val="00000A"/>
      <w:sz w:val="22"/>
    </w:rPr>
  </w:style>
  <w:style w:type="character" w:styleId="ListLabel38">
    <w:name w:val="ListLabel 38"/>
    <w:qFormat/>
    <w:rPr>
      <w:rFonts w:ascii="Times New Roman" w:hAnsi="Times New Roman"/>
      <w:b/>
      <w:bCs/>
      <w:i w:val="false"/>
      <w:color w:val="00000A"/>
    </w:rPr>
  </w:style>
  <w:style w:type="character" w:styleId="ListLabel39">
    <w:name w:val="ListLabel 39"/>
    <w:qFormat/>
    <w:rPr>
      <w:rFonts w:eastAsia="TimesNewRomanPSMT, 'MS Mincho'" w:cs="Arial"/>
      <w:b/>
      <w:bCs/>
      <w:color w:val="000000"/>
    </w:rPr>
  </w:style>
  <w:style w:type="character" w:styleId="ListLabel40">
    <w:name w:val="ListLabel 40"/>
    <w:qFormat/>
    <w:rPr>
      <w:rFonts w:eastAsia="TimesNewRomanPSMT, 'MS Mincho'" w:cs="Arial"/>
      <w:b/>
      <w:bCs/>
      <w:color w:val="000000"/>
    </w:rPr>
  </w:style>
  <w:style w:type="character" w:styleId="ListLabel41">
    <w:name w:val="ListLabel 41"/>
    <w:qFormat/>
    <w:rPr>
      <w:rFonts w:eastAsia="TimesNewRomanPSMT, 'MS Mincho'" w:cs="Arial"/>
      <w:b/>
      <w:bCs/>
      <w:color w:val="000000"/>
    </w:rPr>
  </w:style>
  <w:style w:type="character" w:styleId="ListLabel42">
    <w:name w:val="ListLabel 42"/>
    <w:qFormat/>
    <w:rPr>
      <w:rFonts w:eastAsia="TimesNewRomanPSMT, 'MS Mincho'" w:cs="Arial"/>
      <w:b/>
      <w:bCs/>
      <w:color w:val="000000"/>
    </w:rPr>
  </w:style>
  <w:style w:type="character" w:styleId="ListLabel43">
    <w:name w:val="ListLabel 43"/>
    <w:qFormat/>
    <w:rPr>
      <w:rFonts w:eastAsia="TimesNewRomanPSMT, 'MS Mincho'" w:cs="Arial"/>
      <w:b/>
      <w:bCs/>
      <w:color w:val="000000"/>
    </w:rPr>
  </w:style>
  <w:style w:type="character" w:styleId="ListLabel44">
    <w:name w:val="ListLabel 44"/>
    <w:qFormat/>
    <w:rPr>
      <w:rFonts w:eastAsia="TimesNewRomanPSMT, 'MS Mincho'" w:cs="Arial"/>
      <w:b/>
      <w:bCs/>
      <w:color w:val="000000"/>
    </w:rPr>
  </w:style>
  <w:style w:type="character" w:styleId="ListLabel45">
    <w:name w:val="ListLabel 45"/>
    <w:qFormat/>
    <w:rPr>
      <w:rFonts w:eastAsia="TimesNewRomanPSMT, 'MS Mincho'" w:cs="Arial"/>
      <w:b/>
      <w:bCs/>
      <w:color w:val="000000"/>
    </w:rPr>
  </w:style>
  <w:style w:type="character" w:styleId="ListLabel46">
    <w:name w:val="ListLabel 46"/>
    <w:qFormat/>
    <w:rPr>
      <w:rFonts w:eastAsia="TimesNewRomanPSMT, 'MS Mincho'" w:cs="Arial"/>
      <w:b/>
      <w:bCs/>
      <w:color w:val="000000"/>
    </w:rPr>
  </w:style>
  <w:style w:type="character" w:styleId="ListLabel47">
    <w:name w:val="ListLabel 47"/>
    <w:qFormat/>
    <w:rPr>
      <w:rFonts w:cs="OpenSymbol"/>
      <w:color w:val="00000A"/>
    </w:rPr>
  </w:style>
  <w:style w:type="character" w:styleId="ListLabel48">
    <w:name w:val="ListLabel 48"/>
    <w:qFormat/>
    <w:rPr>
      <w:b/>
      <w:sz w:val="20"/>
      <w:szCs w:val="20"/>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ascii="Times New Roman" w:hAnsi="Times New Roman"/>
      <w:b/>
    </w:rPr>
  </w:style>
  <w:style w:type="character" w:styleId="ListLabel53">
    <w:name w:val="ListLabel 53"/>
    <w:qFormat/>
    <w:rPr>
      <w:b/>
      <w:bCs/>
      <w:i w:val="false"/>
      <w:color w:val="00000A"/>
    </w:rPr>
  </w:style>
  <w:style w:type="character" w:styleId="ListLabel54">
    <w:name w:val="ListLabel 54"/>
    <w:qFormat/>
    <w:rPr>
      <w:b/>
      <w:bCs/>
      <w:i w:val="false"/>
      <w:color w:val="00000A"/>
    </w:rPr>
  </w:style>
  <w:style w:type="character" w:styleId="ListLabel55">
    <w:name w:val="ListLabel 55"/>
    <w:qFormat/>
    <w:rPr>
      <w:rFonts w:cs="Wingdings 2"/>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Wingdings 2"/>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Wingdings 2"/>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Arial"/>
      <w:b/>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rFonts w:ascii="Times New Roman" w:hAnsi="Times New Roman"/>
      <w:b/>
      <w:sz w:val="22"/>
    </w:rPr>
  </w:style>
  <w:style w:type="character" w:styleId="ListLabel68">
    <w:name w:val="ListLabel 68"/>
    <w:qFormat/>
    <w:rPr>
      <w:rFonts w:ascii="Times New Roman" w:hAnsi="Times New Roman"/>
      <w:b w:val="false"/>
      <w:color w:val="00000A"/>
      <w:sz w:val="22"/>
      <w:szCs w:val="20"/>
    </w:rPr>
  </w:style>
  <w:style w:type="character" w:styleId="ListLabel69">
    <w:name w:val="ListLabel 69"/>
    <w:qFormat/>
    <w:rPr>
      <w:rFonts w:ascii="Times New Roman" w:hAnsi="Times New Roman"/>
      <w:b w:val="false"/>
      <w:color w:val="00000A"/>
      <w:sz w:val="22"/>
      <w:szCs w:val="20"/>
    </w:rPr>
  </w:style>
  <w:style w:type="character" w:styleId="ListLabel70">
    <w:name w:val="ListLabel 70"/>
    <w:qFormat/>
    <w:rPr>
      <w:sz w:val="20"/>
      <w:szCs w:val="20"/>
    </w:rPr>
  </w:style>
  <w:style w:type="character" w:styleId="ListLabel71">
    <w:name w:val="ListLabel 71"/>
    <w:qFormat/>
    <w:rPr>
      <w:b/>
    </w:rPr>
  </w:style>
  <w:style w:type="character" w:styleId="ListLabel72">
    <w:name w:val="ListLabel 72"/>
    <w:qFormat/>
    <w:rPr>
      <w:rFonts w:ascii="Times New Roman" w:hAnsi="Times New Roman"/>
      <w:b w:val="false"/>
      <w:color w:val="00000A"/>
      <w:sz w:val="22"/>
      <w:szCs w:val="20"/>
    </w:rPr>
  </w:style>
  <w:style w:type="character" w:styleId="ListLabel73">
    <w:name w:val="ListLabel 73"/>
    <w:qFormat/>
    <w:rPr>
      <w:rFonts w:ascii="Times New Roman" w:hAnsi="Times New Roman"/>
      <w:b w:val="false"/>
      <w:color w:val="00000A"/>
      <w:sz w:val="22"/>
      <w:szCs w:val="20"/>
    </w:rPr>
  </w:style>
  <w:style w:type="character" w:styleId="ListLabel74">
    <w:name w:val="ListLabel 74"/>
    <w:qFormat/>
    <w:rPr>
      <w:rFonts w:eastAsia="TimesNewRomanPSMT, 'MS Mincho'" w:cs="Arial"/>
      <w:b/>
      <w:bCs/>
      <w:color w:val="000000"/>
    </w:rPr>
  </w:style>
  <w:style w:type="character" w:styleId="ListLabel75">
    <w:name w:val="ListLabel 75"/>
    <w:qFormat/>
    <w:rPr>
      <w:rFonts w:eastAsia="TimesNewRomanPSMT, 'MS Mincho'" w:cs="Arial"/>
      <w:b/>
      <w:bCs/>
      <w:color w:val="000000"/>
    </w:rPr>
  </w:style>
  <w:style w:type="character" w:styleId="ListLabel76">
    <w:name w:val="ListLabel 76"/>
    <w:qFormat/>
    <w:rPr>
      <w:rFonts w:eastAsia="TimesNewRomanPSMT, 'MS Mincho'" w:cs="Arial"/>
      <w:b/>
      <w:bCs/>
      <w:color w:val="000000"/>
    </w:rPr>
  </w:style>
  <w:style w:type="character" w:styleId="ListLabel77">
    <w:name w:val="ListLabel 77"/>
    <w:qFormat/>
    <w:rPr>
      <w:rFonts w:eastAsia="TimesNewRomanPSMT, 'MS Mincho'" w:cs="Arial"/>
      <w:b/>
      <w:bCs/>
      <w:color w:val="000000"/>
    </w:rPr>
  </w:style>
  <w:style w:type="character" w:styleId="ListLabel78">
    <w:name w:val="ListLabel 78"/>
    <w:qFormat/>
    <w:rPr>
      <w:rFonts w:eastAsia="TimesNewRomanPSMT, 'MS Mincho'" w:cs="Arial"/>
      <w:b/>
      <w:bCs/>
      <w:color w:val="000000"/>
    </w:rPr>
  </w:style>
  <w:style w:type="character" w:styleId="ListLabel79">
    <w:name w:val="ListLabel 79"/>
    <w:qFormat/>
    <w:rPr>
      <w:rFonts w:eastAsia="TimesNewRomanPSMT, 'MS Mincho'" w:cs="Arial"/>
      <w:b/>
      <w:bCs/>
      <w:color w:val="000000"/>
    </w:rPr>
  </w:style>
  <w:style w:type="character" w:styleId="ListLabel80">
    <w:name w:val="ListLabel 80"/>
    <w:qFormat/>
    <w:rPr>
      <w:rFonts w:eastAsia="TimesNewRomanPSMT, 'MS Mincho'" w:cs="Arial"/>
      <w:b/>
      <w:bCs/>
      <w:color w:val="000000"/>
    </w:rPr>
  </w:style>
  <w:style w:type="character" w:styleId="ListLabel81">
    <w:name w:val="ListLabel 81"/>
    <w:qFormat/>
    <w:rPr>
      <w:rFonts w:eastAsia="TimesNewRomanPSMT, 'MS Mincho'" w:cs="Arial"/>
      <w:b/>
      <w:bCs/>
      <w:color w:val="000000"/>
    </w:rPr>
  </w:style>
  <w:style w:type="character" w:styleId="ListLabel82">
    <w:name w:val="ListLabel 82"/>
    <w:qFormat/>
    <w:rPr>
      <w:rFonts w:ascii="Times New Roman" w:hAnsi="Times New Roman"/>
      <w:b/>
    </w:rPr>
  </w:style>
  <w:style w:type="character" w:styleId="ListLabel83">
    <w:name w:val="ListLabel 83"/>
    <w:qFormat/>
    <w:rPr>
      <w:rFonts w:ascii="Times New Roman" w:hAnsi="Times New Roman"/>
      <w:b/>
      <w:bCs/>
      <w:i w:val="false"/>
      <w:color w:val="00000A"/>
      <w:sz w:val="22"/>
    </w:rPr>
  </w:style>
  <w:style w:type="character" w:styleId="ListLabel84">
    <w:name w:val="ListLabel 84"/>
    <w:qFormat/>
    <w:rPr>
      <w:rFonts w:ascii="Times New Roman" w:hAnsi="Times New Roman"/>
      <w:b/>
      <w:bCs/>
      <w:i w:val="false"/>
      <w:color w:val="00000A"/>
    </w:rPr>
  </w:style>
  <w:style w:type="character" w:styleId="ListLabel85">
    <w:name w:val="ListLabel 85"/>
    <w:qFormat/>
    <w:rPr>
      <w:rFonts w:ascii="Times New Roman" w:hAnsi="Times New Roman" w:cs="Symbol"/>
      <w:b/>
    </w:rPr>
  </w:style>
  <w:style w:type="character" w:styleId="ListLabel86">
    <w:name w:val="ListLabel 86"/>
    <w:qFormat/>
    <w:rPr>
      <w:b/>
      <w:bCs/>
      <w:i w:val="false"/>
      <w:color w:val="00000A"/>
    </w:rPr>
  </w:style>
  <w:style w:type="character" w:styleId="ListLabel87">
    <w:name w:val="ListLabel 87"/>
    <w:qFormat/>
    <w:rPr>
      <w:b/>
      <w:bCs/>
      <w:i w:val="false"/>
      <w:color w:val="00000A"/>
    </w:rPr>
  </w:style>
  <w:style w:type="character" w:styleId="ListLabel88">
    <w:name w:val="ListLabel 88"/>
    <w:qFormat/>
    <w:rPr>
      <w:rFonts w:ascii="Times New Roman" w:hAnsi="Times New Roman"/>
      <w:b/>
      <w:sz w:val="22"/>
    </w:rPr>
  </w:style>
  <w:style w:type="character" w:styleId="ListLabel89">
    <w:name w:val="ListLabel 89"/>
    <w:qFormat/>
    <w:rPr>
      <w:rFonts w:ascii="Times New Roman" w:hAnsi="Times New Roman"/>
      <w:b w:val="false"/>
      <w:color w:val="00000A"/>
      <w:sz w:val="22"/>
      <w:szCs w:val="20"/>
    </w:rPr>
  </w:style>
  <w:style w:type="character" w:styleId="ListLabel90">
    <w:name w:val="ListLabel 90"/>
    <w:qFormat/>
    <w:rPr>
      <w:rFonts w:ascii="Times New Roman" w:hAnsi="Times New Roman"/>
      <w:b w:val="false"/>
      <w:color w:val="00000A"/>
      <w:sz w:val="22"/>
      <w:szCs w:val="20"/>
    </w:rPr>
  </w:style>
  <w:style w:type="character" w:styleId="ListLabel91">
    <w:name w:val="ListLabel 91"/>
    <w:qFormat/>
    <w:rPr>
      <w:sz w:val="20"/>
      <w:szCs w:val="20"/>
    </w:rPr>
  </w:style>
  <w:style w:type="character" w:styleId="ListLabel92">
    <w:name w:val="ListLabel 92"/>
    <w:qFormat/>
    <w:rPr>
      <w:b/>
    </w:rPr>
  </w:style>
  <w:style w:type="character" w:styleId="ListLabel93">
    <w:name w:val="ListLabel 93"/>
    <w:qFormat/>
    <w:rPr>
      <w:rFonts w:ascii="Times New Roman" w:hAnsi="Times New Roman"/>
      <w:b w:val="false"/>
      <w:color w:val="00000A"/>
      <w:sz w:val="22"/>
      <w:szCs w:val="20"/>
    </w:rPr>
  </w:style>
  <w:style w:type="character" w:styleId="ListLabel94">
    <w:name w:val="ListLabel 94"/>
    <w:qFormat/>
    <w:rPr>
      <w:rFonts w:ascii="Times New Roman" w:hAnsi="Times New Roman"/>
      <w:b w:val="false"/>
      <w:color w:val="00000A"/>
      <w:sz w:val="22"/>
      <w:szCs w:val="20"/>
    </w:rPr>
  </w:style>
  <w:style w:type="character" w:styleId="ListLabel95">
    <w:name w:val="ListLabel 95"/>
    <w:qFormat/>
    <w:rPr>
      <w:rFonts w:eastAsia="TimesNewRomanPSMT, 'MS Mincho'" w:cs="Arial"/>
      <w:b/>
      <w:bCs/>
      <w:color w:val="000000"/>
    </w:rPr>
  </w:style>
  <w:style w:type="character" w:styleId="ListLabel96">
    <w:name w:val="ListLabel 96"/>
    <w:qFormat/>
    <w:rPr>
      <w:rFonts w:eastAsia="TimesNewRomanPSMT, 'MS Mincho'" w:cs="Arial"/>
      <w:b/>
      <w:bCs/>
      <w:color w:val="000000"/>
    </w:rPr>
  </w:style>
  <w:style w:type="character" w:styleId="ListLabel97">
    <w:name w:val="ListLabel 97"/>
    <w:qFormat/>
    <w:rPr>
      <w:rFonts w:eastAsia="TimesNewRomanPSMT, 'MS Mincho'" w:cs="Arial"/>
      <w:b/>
      <w:bCs/>
      <w:color w:val="000000"/>
    </w:rPr>
  </w:style>
  <w:style w:type="character" w:styleId="ListLabel98">
    <w:name w:val="ListLabel 98"/>
    <w:qFormat/>
    <w:rPr>
      <w:rFonts w:eastAsia="TimesNewRomanPSMT, 'MS Mincho'" w:cs="Arial"/>
      <w:b/>
      <w:bCs/>
      <w:color w:val="000000"/>
    </w:rPr>
  </w:style>
  <w:style w:type="character" w:styleId="ListLabel99">
    <w:name w:val="ListLabel 99"/>
    <w:qFormat/>
    <w:rPr>
      <w:rFonts w:eastAsia="TimesNewRomanPSMT, 'MS Mincho'" w:cs="Arial"/>
      <w:b/>
      <w:bCs/>
      <w:color w:val="000000"/>
    </w:rPr>
  </w:style>
  <w:style w:type="character" w:styleId="ListLabel100">
    <w:name w:val="ListLabel 100"/>
    <w:qFormat/>
    <w:rPr>
      <w:rFonts w:eastAsia="TimesNewRomanPSMT, 'MS Mincho'" w:cs="Arial"/>
      <w:b/>
      <w:bCs/>
      <w:color w:val="000000"/>
    </w:rPr>
  </w:style>
  <w:style w:type="character" w:styleId="ListLabel101">
    <w:name w:val="ListLabel 101"/>
    <w:qFormat/>
    <w:rPr>
      <w:rFonts w:eastAsia="TimesNewRomanPSMT, 'MS Mincho'" w:cs="Arial"/>
      <w:b/>
      <w:bCs/>
      <w:color w:val="000000"/>
    </w:rPr>
  </w:style>
  <w:style w:type="character" w:styleId="ListLabel102">
    <w:name w:val="ListLabel 102"/>
    <w:qFormat/>
    <w:rPr>
      <w:rFonts w:eastAsia="TimesNewRomanPSMT, 'MS Mincho'" w:cs="Arial"/>
      <w:b/>
      <w:bCs/>
      <w:color w:val="000000"/>
    </w:rPr>
  </w:style>
  <w:style w:type="character" w:styleId="ListLabel103">
    <w:name w:val="ListLabel 103"/>
    <w:qFormat/>
    <w:rPr>
      <w:rFonts w:ascii="Times New Roman" w:hAnsi="Times New Roman"/>
      <w:b/>
    </w:rPr>
  </w:style>
  <w:style w:type="character" w:styleId="ListLabel104">
    <w:name w:val="ListLabel 104"/>
    <w:qFormat/>
    <w:rPr>
      <w:rFonts w:ascii="Times New Roman" w:hAnsi="Times New Roman"/>
      <w:b/>
      <w:bCs/>
      <w:i w:val="false"/>
      <w:color w:val="00000A"/>
      <w:sz w:val="22"/>
    </w:rPr>
  </w:style>
  <w:style w:type="character" w:styleId="ListLabel105">
    <w:name w:val="ListLabel 105"/>
    <w:qFormat/>
    <w:rPr>
      <w:rFonts w:ascii="Times New Roman" w:hAnsi="Times New Roman"/>
      <w:b/>
      <w:bCs/>
      <w:i w:val="false"/>
      <w:color w:val="00000A"/>
    </w:rPr>
  </w:style>
  <w:style w:type="character" w:styleId="ListLabel106">
    <w:name w:val="ListLabel 106"/>
    <w:qFormat/>
    <w:rPr>
      <w:rFonts w:ascii="Times New Roman" w:hAnsi="Times New Roman" w:cs="Symbol"/>
      <w:b/>
    </w:rPr>
  </w:style>
  <w:style w:type="character" w:styleId="ListLabel107">
    <w:name w:val="ListLabel 107"/>
    <w:qFormat/>
    <w:rPr>
      <w:b/>
      <w:bCs/>
      <w:i w:val="false"/>
      <w:color w:val="00000A"/>
    </w:rPr>
  </w:style>
  <w:style w:type="character" w:styleId="ListLabel108">
    <w:name w:val="ListLabel 108"/>
    <w:qFormat/>
    <w:rPr>
      <w:b/>
      <w:bCs/>
      <w:i w:val="false"/>
      <w:color w:val="00000A"/>
    </w:rPr>
  </w:style>
  <w:style w:type="character" w:styleId="Fontepare1gpadre3o">
    <w:name w:val="Fonte paráe1g. padrãe3o"/>
    <w:qFormat/>
    <w:rPr/>
  </w:style>
  <w:style w:type="character" w:styleId="Fontepargpadro">
    <w:name w:val="Fonte parág. padrão"/>
    <w:qFormat/>
    <w:rPr/>
  </w:style>
  <w:style w:type="character" w:styleId="Linkdainternetvisitado">
    <w:name w:val="Link da internet visitado"/>
    <w:rPr>
      <w:color w:val="800000"/>
      <w:u w:val="single"/>
      <w:lang w:val="zxx" w:eastAsia="zxx" w:bidi="zxx"/>
    </w:rPr>
  </w:style>
  <w:style w:type="character" w:styleId="ListLabel109">
    <w:name w:val="ListLabel 109"/>
    <w:qFormat/>
    <w:rPr>
      <w:rFonts w:ascii="Arial" w:hAnsi="Arial"/>
      <w:b/>
      <w:sz w:val="20"/>
    </w:rPr>
  </w:style>
  <w:style w:type="character" w:styleId="ListLabel110">
    <w:name w:val="ListLabel 110"/>
    <w:qFormat/>
    <w:rPr>
      <w:rFonts w:ascii="Arial" w:hAnsi="Arial"/>
      <w:b/>
      <w:color w:val="00000A"/>
      <w:sz w:val="20"/>
      <w:szCs w:val="20"/>
    </w:rPr>
  </w:style>
  <w:style w:type="character" w:styleId="ListLabel111">
    <w:name w:val="ListLabel 111"/>
    <w:qFormat/>
    <w:rPr>
      <w:rFonts w:ascii="Times New Roman" w:hAnsi="Times New Roman"/>
      <w:b/>
      <w:color w:val="00000A"/>
      <w:sz w:val="22"/>
      <w:szCs w:val="20"/>
    </w:rPr>
  </w:style>
  <w:style w:type="character" w:styleId="ListLabel112">
    <w:name w:val="ListLabel 112"/>
    <w:qFormat/>
    <w:rPr>
      <w:sz w:val="20"/>
      <w:szCs w:val="20"/>
    </w:rPr>
  </w:style>
  <w:style w:type="character" w:styleId="ListLabel113">
    <w:name w:val="ListLabel 113"/>
    <w:qFormat/>
    <w:rPr>
      <w:b/>
    </w:rPr>
  </w:style>
  <w:style w:type="character" w:styleId="ListLabel114">
    <w:name w:val="ListLabel 114"/>
    <w:qFormat/>
    <w:rPr>
      <w:b w:val="false"/>
      <w:color w:val="00000A"/>
      <w:sz w:val="22"/>
      <w:szCs w:val="20"/>
    </w:rPr>
  </w:style>
  <w:style w:type="character" w:styleId="ListLabel115">
    <w:name w:val="ListLabel 115"/>
    <w:qFormat/>
    <w:rPr>
      <w:b w:val="false"/>
      <w:color w:val="00000A"/>
      <w:sz w:val="22"/>
      <w:szCs w:val="20"/>
    </w:rPr>
  </w:style>
  <w:style w:type="character" w:styleId="ListLabel116">
    <w:name w:val="ListLabel 116"/>
    <w:qFormat/>
    <w:rPr>
      <w:rFonts w:ascii="Calibri Light" w:hAnsi="Calibri Light" w:cs="Wingdings"/>
      <w:sz w:val="24"/>
    </w:rPr>
  </w:style>
  <w:style w:type="character" w:styleId="ListLabel117">
    <w:name w:val="ListLabel 117"/>
    <w:qFormat/>
    <w:rPr>
      <w:rFonts w:cs="Wingdings"/>
    </w:rPr>
  </w:style>
  <w:style w:type="character" w:styleId="ListLabel118">
    <w:name w:val="ListLabel 118"/>
    <w:qFormat/>
    <w:rPr>
      <w:rFonts w:cs="Wingdings"/>
    </w:rPr>
  </w:style>
  <w:style w:type="character" w:styleId="ListLabel119">
    <w:name w:val="ListLabel 119"/>
    <w:qFormat/>
    <w:rPr>
      <w:rFonts w:cs="Wingdings"/>
    </w:rPr>
  </w:style>
  <w:style w:type="character" w:styleId="ListLabel120">
    <w:name w:val="ListLabel 120"/>
    <w:qFormat/>
    <w:rPr>
      <w:rFonts w:cs="Wingdings"/>
    </w:rPr>
  </w:style>
  <w:style w:type="character" w:styleId="ListLabel121">
    <w:name w:val="ListLabel 121"/>
    <w:qFormat/>
    <w:rPr>
      <w:rFonts w:cs="Wingdings"/>
    </w:rPr>
  </w:style>
  <w:style w:type="character" w:styleId="ListLabel122">
    <w:name w:val="ListLabel 122"/>
    <w:qFormat/>
    <w:rPr>
      <w:rFonts w:cs="Wingdings"/>
    </w:rPr>
  </w:style>
  <w:style w:type="character" w:styleId="ListLabel123">
    <w:name w:val="ListLabel 123"/>
    <w:qFormat/>
    <w:rPr>
      <w:rFonts w:cs="Wingdings"/>
    </w:rPr>
  </w:style>
  <w:style w:type="character" w:styleId="ListLabel124">
    <w:name w:val="ListLabel 124"/>
    <w:qFormat/>
    <w:rPr>
      <w:rFonts w:cs="Wingdings"/>
    </w:rPr>
  </w:style>
  <w:style w:type="character" w:styleId="ListLabel125">
    <w:name w:val="ListLabel 125"/>
    <w:qFormat/>
    <w:rPr>
      <w:rFonts w:ascii="Arial" w:hAnsi="Arial"/>
      <w:b/>
      <w:sz w:val="20"/>
    </w:rPr>
  </w:style>
  <w:style w:type="character" w:styleId="ListLabel126">
    <w:name w:val="ListLabel 126"/>
    <w:qFormat/>
    <w:rPr>
      <w:rFonts w:ascii="Arial" w:hAnsi="Arial"/>
      <w:b/>
      <w:color w:val="00000A"/>
      <w:sz w:val="20"/>
      <w:szCs w:val="20"/>
    </w:rPr>
  </w:style>
  <w:style w:type="character" w:styleId="ListLabel127">
    <w:name w:val="ListLabel 127"/>
    <w:qFormat/>
    <w:rPr>
      <w:rFonts w:ascii="Times New Roman" w:hAnsi="Times New Roman"/>
      <w:b/>
      <w:color w:val="00000A"/>
      <w:sz w:val="22"/>
      <w:szCs w:val="20"/>
    </w:rPr>
  </w:style>
  <w:style w:type="character" w:styleId="ListLabel128">
    <w:name w:val="ListLabel 128"/>
    <w:qFormat/>
    <w:rPr>
      <w:rFonts w:cs="Wingdings"/>
      <w:sz w:val="24"/>
    </w:rPr>
  </w:style>
  <w:style w:type="character" w:styleId="ListLabel129">
    <w:name w:val="ListLabel 129"/>
    <w:qFormat/>
    <w:rPr>
      <w:rFonts w:cs="Wingdings"/>
    </w:rPr>
  </w:style>
  <w:style w:type="character" w:styleId="ListLabel130">
    <w:name w:val="ListLabel 130"/>
    <w:qFormat/>
    <w:rPr>
      <w:rFonts w:cs="Wingdings"/>
    </w:rPr>
  </w:style>
  <w:style w:type="character" w:styleId="ListLabel131">
    <w:name w:val="ListLabel 131"/>
    <w:qFormat/>
    <w:rPr>
      <w:rFonts w:cs="Wingdings"/>
    </w:rPr>
  </w:style>
  <w:style w:type="character" w:styleId="ListLabel132">
    <w:name w:val="ListLabel 132"/>
    <w:qFormat/>
    <w:rPr>
      <w:rFonts w:cs="Wingdings"/>
    </w:rPr>
  </w:style>
  <w:style w:type="character" w:styleId="ListLabel133">
    <w:name w:val="ListLabel 133"/>
    <w:qFormat/>
    <w:rPr>
      <w:rFonts w:cs="Wingdings"/>
    </w:rPr>
  </w:style>
  <w:style w:type="character" w:styleId="ListLabel134">
    <w:name w:val="ListLabel 134"/>
    <w:qFormat/>
    <w:rPr>
      <w:rFonts w:cs="Wingdings"/>
    </w:rPr>
  </w:style>
  <w:style w:type="character" w:styleId="ListLabel135">
    <w:name w:val="ListLabel 135"/>
    <w:qFormat/>
    <w:rPr>
      <w:rFonts w:cs="Wingdings"/>
    </w:rPr>
  </w:style>
  <w:style w:type="character" w:styleId="ListLabel136">
    <w:name w:val="ListLabel 136"/>
    <w:qFormat/>
    <w:rPr>
      <w:rFonts w:cs="Wingdings"/>
    </w:rPr>
  </w:style>
  <w:style w:type="character" w:styleId="ListLabel137">
    <w:name w:val="ListLabel 137"/>
    <w:qFormat/>
    <w:rPr>
      <w:rFonts w:ascii="Arial" w:hAnsi="Arial"/>
      <w:b/>
      <w:sz w:val="20"/>
    </w:rPr>
  </w:style>
  <w:style w:type="character" w:styleId="ListLabel138">
    <w:name w:val="ListLabel 138"/>
    <w:qFormat/>
    <w:rPr>
      <w:rFonts w:ascii="Arial" w:hAnsi="Arial"/>
      <w:b/>
      <w:color w:val="00000A"/>
      <w:sz w:val="20"/>
      <w:szCs w:val="20"/>
    </w:rPr>
  </w:style>
  <w:style w:type="character" w:styleId="ListLabel139">
    <w:name w:val="ListLabel 139"/>
    <w:qFormat/>
    <w:rPr>
      <w:rFonts w:ascii="Times New Roman" w:hAnsi="Times New Roman"/>
      <w:b/>
      <w:color w:val="00000A"/>
      <w:sz w:val="22"/>
      <w:szCs w:val="20"/>
    </w:rPr>
  </w:style>
  <w:style w:type="character" w:styleId="ListLabel140">
    <w:name w:val="ListLabel 140"/>
    <w:qFormat/>
    <w:rPr>
      <w:rFonts w:cs="Wingdings"/>
      <w:sz w:val="24"/>
    </w:rPr>
  </w:style>
  <w:style w:type="character" w:styleId="ListLabel141">
    <w:name w:val="ListLabel 141"/>
    <w:qFormat/>
    <w:rPr>
      <w:rFonts w:cs="Wingdings"/>
    </w:rPr>
  </w:style>
  <w:style w:type="character" w:styleId="ListLabel142">
    <w:name w:val="ListLabel 142"/>
    <w:qFormat/>
    <w:rPr>
      <w:rFonts w:cs="Wingdings"/>
    </w:rPr>
  </w:style>
  <w:style w:type="character" w:styleId="ListLabel143">
    <w:name w:val="ListLabel 143"/>
    <w:qFormat/>
    <w:rPr>
      <w:rFonts w:cs="Wingdings"/>
    </w:rPr>
  </w:style>
  <w:style w:type="character" w:styleId="ListLabel144">
    <w:name w:val="ListLabel 144"/>
    <w:qFormat/>
    <w:rPr>
      <w:rFonts w:cs="Wingdings"/>
    </w:rPr>
  </w:style>
  <w:style w:type="character" w:styleId="ListLabel145">
    <w:name w:val="ListLabel 145"/>
    <w:qFormat/>
    <w:rPr>
      <w:rFonts w:cs="Wingdings"/>
    </w:rPr>
  </w:style>
  <w:style w:type="character" w:styleId="ListLabel146">
    <w:name w:val="ListLabel 146"/>
    <w:qFormat/>
    <w:rPr>
      <w:rFonts w:cs="Wingdings"/>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ascii="Arial" w:hAnsi="Arial"/>
      <w:b/>
      <w:sz w:val="20"/>
    </w:rPr>
  </w:style>
  <w:style w:type="character" w:styleId="ListLabel150">
    <w:name w:val="ListLabel 150"/>
    <w:qFormat/>
    <w:rPr>
      <w:rFonts w:ascii="Arial" w:hAnsi="Arial"/>
      <w:b/>
      <w:color w:val="00000A"/>
      <w:sz w:val="20"/>
      <w:szCs w:val="20"/>
    </w:rPr>
  </w:style>
  <w:style w:type="character" w:styleId="ListLabel151">
    <w:name w:val="ListLabel 151"/>
    <w:qFormat/>
    <w:rPr>
      <w:rFonts w:ascii="Times New Roman" w:hAnsi="Times New Roman"/>
      <w:b/>
      <w:color w:val="00000A"/>
      <w:sz w:val="22"/>
      <w:szCs w:val="20"/>
    </w:rPr>
  </w:style>
  <w:style w:type="character" w:styleId="ListLabel152">
    <w:name w:val="ListLabel 152"/>
    <w:qFormat/>
    <w:rPr>
      <w:rFonts w:cs="Wingdings"/>
      <w:sz w:val="24"/>
    </w:rPr>
  </w:style>
  <w:style w:type="character" w:styleId="ListLabel153">
    <w:name w:val="ListLabel 153"/>
    <w:qFormat/>
    <w:rPr>
      <w:rFonts w:cs="Wingdings"/>
    </w:rPr>
  </w:style>
  <w:style w:type="character" w:styleId="ListLabel154">
    <w:name w:val="ListLabel 154"/>
    <w:qFormat/>
    <w:rPr>
      <w:rFonts w:cs="Wingdings"/>
    </w:rPr>
  </w:style>
  <w:style w:type="character" w:styleId="ListLabel155">
    <w:name w:val="ListLabel 155"/>
    <w:qFormat/>
    <w:rPr>
      <w:rFonts w:cs="Wingdings"/>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Wingdings"/>
    </w:rPr>
  </w:style>
  <w:style w:type="character" w:styleId="ListLabel159">
    <w:name w:val="ListLabel 159"/>
    <w:qFormat/>
    <w:rPr>
      <w:rFonts w:cs="Wingdings"/>
    </w:rPr>
  </w:style>
  <w:style w:type="character" w:styleId="ListLabel160">
    <w:name w:val="ListLabel 160"/>
    <w:qFormat/>
    <w:rPr>
      <w:rFonts w:cs="Wingdings"/>
    </w:rPr>
  </w:style>
  <w:style w:type="character" w:styleId="ListLabel161">
    <w:name w:val="ListLabel 161"/>
    <w:qFormat/>
    <w:rPr>
      <w:rFonts w:ascii="Arial" w:hAnsi="Arial"/>
      <w:b/>
      <w:sz w:val="20"/>
    </w:rPr>
  </w:style>
  <w:style w:type="character" w:styleId="ListLabel162">
    <w:name w:val="ListLabel 162"/>
    <w:qFormat/>
    <w:rPr>
      <w:rFonts w:ascii="Arial" w:hAnsi="Arial"/>
      <w:b/>
      <w:color w:val="00000A"/>
      <w:sz w:val="20"/>
      <w:szCs w:val="20"/>
    </w:rPr>
  </w:style>
  <w:style w:type="character" w:styleId="ListLabel163">
    <w:name w:val="ListLabel 163"/>
    <w:qFormat/>
    <w:rPr>
      <w:rFonts w:ascii="Times New Roman" w:hAnsi="Times New Roman"/>
      <w:b/>
      <w:color w:val="00000A"/>
      <w:sz w:val="22"/>
      <w:szCs w:val="20"/>
    </w:rPr>
  </w:style>
  <w:style w:type="character" w:styleId="ListLabel164">
    <w:name w:val="ListLabel 164"/>
    <w:qFormat/>
    <w:rPr>
      <w:rFonts w:cs="Wingdings"/>
      <w:sz w:val="24"/>
    </w:rPr>
  </w:style>
  <w:style w:type="character" w:styleId="ListLabel165">
    <w:name w:val="ListLabel 165"/>
    <w:qFormat/>
    <w:rPr>
      <w:rFonts w:cs="Wingdings"/>
    </w:rPr>
  </w:style>
  <w:style w:type="character" w:styleId="ListLabel166">
    <w:name w:val="ListLabel 166"/>
    <w:qFormat/>
    <w:rPr>
      <w:rFonts w:cs="Wingdings"/>
    </w:rPr>
  </w:style>
  <w:style w:type="character" w:styleId="ListLabel167">
    <w:name w:val="ListLabel 167"/>
    <w:qFormat/>
    <w:rPr>
      <w:rFonts w:cs="Wingdings"/>
    </w:rPr>
  </w:style>
  <w:style w:type="character" w:styleId="ListLabel168">
    <w:name w:val="ListLabel 168"/>
    <w:qFormat/>
    <w:rPr>
      <w:rFonts w:cs="Wingdings"/>
    </w:rPr>
  </w:style>
  <w:style w:type="character" w:styleId="ListLabel169">
    <w:name w:val="ListLabel 169"/>
    <w:qFormat/>
    <w:rPr>
      <w:rFonts w:cs="Wingdings"/>
    </w:rPr>
  </w:style>
  <w:style w:type="character" w:styleId="ListLabel170">
    <w:name w:val="ListLabel 170"/>
    <w:qFormat/>
    <w:rPr>
      <w:rFonts w:cs="Wingdings"/>
    </w:rPr>
  </w:style>
  <w:style w:type="character" w:styleId="ListLabel171">
    <w:name w:val="ListLabel 171"/>
    <w:qFormat/>
    <w:rPr>
      <w:rFonts w:cs="Wingdings"/>
    </w:rPr>
  </w:style>
  <w:style w:type="character" w:styleId="ListLabel172">
    <w:name w:val="ListLabel 172"/>
    <w:qFormat/>
    <w:rPr>
      <w:rFonts w:cs="Wingdings"/>
    </w:rPr>
  </w:style>
  <w:style w:type="character" w:styleId="ListLabel173">
    <w:name w:val="ListLabel 173"/>
    <w:qFormat/>
    <w:rPr>
      <w:rFonts w:ascii="Arial" w:hAnsi="Arial"/>
      <w:b/>
      <w:sz w:val="20"/>
    </w:rPr>
  </w:style>
  <w:style w:type="character" w:styleId="ListLabel174">
    <w:name w:val="ListLabel 174"/>
    <w:qFormat/>
    <w:rPr>
      <w:rFonts w:ascii="Arial" w:hAnsi="Arial"/>
      <w:b/>
      <w:bCs/>
      <w:color w:val="00000A"/>
      <w:sz w:val="20"/>
      <w:szCs w:val="20"/>
    </w:rPr>
  </w:style>
  <w:style w:type="character" w:styleId="ListLabel175">
    <w:name w:val="ListLabel 175"/>
    <w:qFormat/>
    <w:rPr>
      <w:rFonts w:ascii="Times New Roman" w:hAnsi="Times New Roman"/>
      <w:b/>
      <w:bCs/>
      <w:color w:val="00000A"/>
      <w:sz w:val="22"/>
      <w:szCs w:val="20"/>
    </w:rPr>
  </w:style>
  <w:style w:type="character" w:styleId="ListLabel176">
    <w:name w:val="ListLabel 176"/>
    <w:qFormat/>
    <w:rPr>
      <w:rFonts w:cs="Wingdings"/>
      <w:sz w:val="24"/>
    </w:rPr>
  </w:style>
  <w:style w:type="character" w:styleId="ListLabel177">
    <w:name w:val="ListLabel 177"/>
    <w:qFormat/>
    <w:rPr>
      <w:rFonts w:cs="Wingdings"/>
    </w:rPr>
  </w:style>
  <w:style w:type="character" w:styleId="ListLabel178">
    <w:name w:val="ListLabel 178"/>
    <w:qFormat/>
    <w:rPr>
      <w:rFonts w:cs="Wingdings"/>
    </w:rPr>
  </w:style>
  <w:style w:type="character" w:styleId="ListLabel179">
    <w:name w:val="ListLabel 179"/>
    <w:qFormat/>
    <w:rPr>
      <w:rFonts w:cs="Wingdings"/>
    </w:rPr>
  </w:style>
  <w:style w:type="character" w:styleId="ListLabel180">
    <w:name w:val="ListLabel 180"/>
    <w:qFormat/>
    <w:rPr>
      <w:rFonts w:cs="Wingdings"/>
    </w:rPr>
  </w:style>
  <w:style w:type="character" w:styleId="ListLabel181">
    <w:name w:val="ListLabel 181"/>
    <w:qFormat/>
    <w:rPr>
      <w:rFonts w:cs="Wingdings"/>
    </w:rPr>
  </w:style>
  <w:style w:type="character" w:styleId="ListLabel182">
    <w:name w:val="ListLabel 182"/>
    <w:qFormat/>
    <w:rPr>
      <w:rFonts w:cs="Wingdings"/>
    </w:rPr>
  </w:style>
  <w:style w:type="character" w:styleId="ListLabel183">
    <w:name w:val="ListLabel 183"/>
    <w:qFormat/>
    <w:rPr>
      <w:rFonts w:cs="Wingdings"/>
    </w:rPr>
  </w:style>
  <w:style w:type="character" w:styleId="ListLabel184">
    <w:name w:val="ListLabel 184"/>
    <w:qFormat/>
    <w:rPr>
      <w:rFonts w:cs="Wingdings"/>
    </w:rPr>
  </w:style>
  <w:style w:type="character" w:styleId="ListLabel185">
    <w:name w:val="ListLabel 185"/>
    <w:qFormat/>
    <w:rPr>
      <w:rFonts w:ascii="Arial" w:hAnsi="Arial"/>
      <w:b/>
      <w:sz w:val="20"/>
    </w:rPr>
  </w:style>
  <w:style w:type="character" w:styleId="ListLabel186">
    <w:name w:val="ListLabel 186"/>
    <w:qFormat/>
    <w:rPr>
      <w:rFonts w:ascii="Times New Roman" w:hAnsi="Times New Roman"/>
      <w:b/>
      <w:bCs/>
      <w:color w:val="00000A"/>
      <w:sz w:val="20"/>
      <w:szCs w:val="20"/>
    </w:rPr>
  </w:style>
  <w:style w:type="character" w:styleId="ListLabel187">
    <w:name w:val="ListLabel 187"/>
    <w:qFormat/>
    <w:rPr>
      <w:rFonts w:ascii="Times New Roman" w:hAnsi="Times New Roman"/>
      <w:b/>
      <w:bCs/>
      <w:color w:val="00000A"/>
      <w:sz w:val="22"/>
      <w:szCs w:val="20"/>
    </w:rPr>
  </w:style>
  <w:style w:type="character" w:styleId="ListLabel188">
    <w:name w:val="ListLabel 188"/>
    <w:qFormat/>
    <w:rPr>
      <w:rFonts w:cs="Wingdings"/>
      <w:sz w:val="24"/>
    </w:rPr>
  </w:style>
  <w:style w:type="character" w:styleId="ListLabel189">
    <w:name w:val="ListLabel 189"/>
    <w:qFormat/>
    <w:rPr>
      <w:rFonts w:cs="Wingdings"/>
    </w:rPr>
  </w:style>
  <w:style w:type="character" w:styleId="ListLabel190">
    <w:name w:val="ListLabel 190"/>
    <w:qFormat/>
    <w:rPr>
      <w:rFonts w:cs="Wingdings"/>
    </w:rPr>
  </w:style>
  <w:style w:type="character" w:styleId="ListLabel191">
    <w:name w:val="ListLabel 191"/>
    <w:qFormat/>
    <w:rPr>
      <w:rFonts w:cs="Wingdings"/>
    </w:rPr>
  </w:style>
  <w:style w:type="character" w:styleId="ListLabel192">
    <w:name w:val="ListLabel 192"/>
    <w:qFormat/>
    <w:rPr>
      <w:rFonts w:cs="Wingdings"/>
    </w:rPr>
  </w:style>
  <w:style w:type="character" w:styleId="ListLabel193">
    <w:name w:val="ListLabel 193"/>
    <w:qFormat/>
    <w:rPr>
      <w:rFonts w:cs="Wingdings"/>
    </w:rPr>
  </w:style>
  <w:style w:type="character" w:styleId="ListLabel194">
    <w:name w:val="ListLabel 194"/>
    <w:qFormat/>
    <w:rPr>
      <w:rFonts w:cs="Wingdings"/>
    </w:rPr>
  </w:style>
  <w:style w:type="character" w:styleId="ListLabel195">
    <w:name w:val="ListLabel 195"/>
    <w:qFormat/>
    <w:rPr>
      <w:rFonts w:cs="Wingdings"/>
    </w:rPr>
  </w:style>
  <w:style w:type="character" w:styleId="ListLabel196">
    <w:name w:val="ListLabel 196"/>
    <w:qFormat/>
    <w:rPr>
      <w:rFonts w:cs="Wingdings"/>
    </w:rPr>
  </w:style>
  <w:style w:type="character" w:styleId="ListLabel197">
    <w:name w:val="ListLabel 197"/>
    <w:qFormat/>
    <w:rPr>
      <w:rFonts w:ascii="Arial" w:hAnsi="Arial"/>
      <w:b/>
      <w:sz w:val="20"/>
    </w:rPr>
  </w:style>
  <w:style w:type="character" w:styleId="ListLabel198">
    <w:name w:val="ListLabel 198"/>
    <w:qFormat/>
    <w:rPr>
      <w:rFonts w:ascii="Arial" w:hAnsi="Arial"/>
      <w:b/>
      <w:bCs/>
      <w:color w:val="00000A"/>
      <w:sz w:val="20"/>
      <w:szCs w:val="20"/>
    </w:rPr>
  </w:style>
  <w:style w:type="character" w:styleId="ListLabel199">
    <w:name w:val="ListLabel 199"/>
    <w:qFormat/>
    <w:rPr>
      <w:rFonts w:ascii="Times New Roman" w:hAnsi="Times New Roman"/>
      <w:b/>
      <w:bCs/>
      <w:color w:val="00000A"/>
      <w:sz w:val="22"/>
      <w:szCs w:val="20"/>
    </w:rPr>
  </w:style>
  <w:style w:type="character" w:styleId="ListLabel200">
    <w:name w:val="ListLabel 200"/>
    <w:qFormat/>
    <w:rPr>
      <w:rFonts w:cs="Wingdings"/>
      <w:sz w:val="24"/>
    </w:rPr>
  </w:style>
  <w:style w:type="character" w:styleId="ListLabel201">
    <w:name w:val="ListLabel 201"/>
    <w:qFormat/>
    <w:rPr>
      <w:rFonts w:cs="Wingdings"/>
    </w:rPr>
  </w:style>
  <w:style w:type="character" w:styleId="ListLabel202">
    <w:name w:val="ListLabel 202"/>
    <w:qFormat/>
    <w:rPr>
      <w:rFonts w:cs="Wingdings"/>
    </w:rPr>
  </w:style>
  <w:style w:type="character" w:styleId="ListLabel203">
    <w:name w:val="ListLabel 203"/>
    <w:qFormat/>
    <w:rPr>
      <w:rFonts w:cs="Wingdings"/>
    </w:rPr>
  </w:style>
  <w:style w:type="character" w:styleId="ListLabel204">
    <w:name w:val="ListLabel 204"/>
    <w:qFormat/>
    <w:rPr>
      <w:rFonts w:cs="Wingdings"/>
    </w:rPr>
  </w:style>
  <w:style w:type="character" w:styleId="ListLabel205">
    <w:name w:val="ListLabel 205"/>
    <w:qFormat/>
    <w:rPr>
      <w:rFonts w:cs="Wingdings"/>
    </w:rPr>
  </w:style>
  <w:style w:type="character" w:styleId="ListLabel206">
    <w:name w:val="ListLabel 206"/>
    <w:qFormat/>
    <w:rPr>
      <w:rFonts w:cs="Wingdings"/>
    </w:rPr>
  </w:style>
  <w:style w:type="character" w:styleId="ListLabel207">
    <w:name w:val="ListLabel 207"/>
    <w:qFormat/>
    <w:rPr>
      <w:rFonts w:cs="Wingdings"/>
    </w:rPr>
  </w:style>
  <w:style w:type="character" w:styleId="ListLabel208">
    <w:name w:val="ListLabel 208"/>
    <w:qFormat/>
    <w:rPr>
      <w:rFonts w:cs="Wingdings"/>
    </w:rPr>
  </w:style>
  <w:style w:type="character" w:styleId="ListLabel209">
    <w:name w:val="ListLabel 209"/>
    <w:qFormat/>
    <w:rPr>
      <w:rFonts w:ascii="Arial" w:hAnsi="Arial"/>
      <w:b/>
      <w:sz w:val="20"/>
    </w:rPr>
  </w:style>
  <w:style w:type="character" w:styleId="ListLabel210">
    <w:name w:val="ListLabel 210"/>
    <w:qFormat/>
    <w:rPr>
      <w:rFonts w:ascii="Arial" w:hAnsi="Arial"/>
      <w:b/>
      <w:bCs/>
      <w:color w:val="00000A"/>
      <w:sz w:val="20"/>
      <w:szCs w:val="20"/>
    </w:rPr>
  </w:style>
  <w:style w:type="character" w:styleId="ListLabel211">
    <w:name w:val="ListLabel 211"/>
    <w:qFormat/>
    <w:rPr>
      <w:rFonts w:ascii="Times New Roman" w:hAnsi="Times New Roman"/>
      <w:b/>
      <w:bCs/>
      <w:color w:val="00000A"/>
      <w:sz w:val="22"/>
      <w:szCs w:val="20"/>
    </w:rPr>
  </w:style>
  <w:style w:type="character" w:styleId="ListLabel212">
    <w:name w:val="ListLabel 212"/>
    <w:qFormat/>
    <w:rPr>
      <w:rFonts w:cs="Wingdings"/>
      <w:sz w:val="24"/>
    </w:rPr>
  </w:style>
  <w:style w:type="character" w:styleId="ListLabel213">
    <w:name w:val="ListLabel 213"/>
    <w:qFormat/>
    <w:rPr>
      <w:rFonts w:cs="Wingdings"/>
    </w:rPr>
  </w:style>
  <w:style w:type="character" w:styleId="ListLabel214">
    <w:name w:val="ListLabel 214"/>
    <w:qFormat/>
    <w:rPr>
      <w:rFonts w:cs="Wingdings"/>
    </w:rPr>
  </w:style>
  <w:style w:type="character" w:styleId="ListLabel215">
    <w:name w:val="ListLabel 215"/>
    <w:qFormat/>
    <w:rPr>
      <w:rFonts w:cs="Wingdings"/>
    </w:rPr>
  </w:style>
  <w:style w:type="character" w:styleId="ListLabel216">
    <w:name w:val="ListLabel 216"/>
    <w:qFormat/>
    <w:rPr>
      <w:rFonts w:cs="Wingdings"/>
    </w:rPr>
  </w:style>
  <w:style w:type="character" w:styleId="ListLabel217">
    <w:name w:val="ListLabel 217"/>
    <w:qFormat/>
    <w:rPr>
      <w:rFonts w:cs="Wingdings"/>
    </w:rPr>
  </w:style>
  <w:style w:type="character" w:styleId="ListLabel218">
    <w:name w:val="ListLabel 218"/>
    <w:qFormat/>
    <w:rPr>
      <w:rFonts w:cs="Wingdings"/>
    </w:rPr>
  </w:style>
  <w:style w:type="character" w:styleId="ListLabel219">
    <w:name w:val="ListLabel 219"/>
    <w:qFormat/>
    <w:rPr>
      <w:rFonts w:cs="Wingdings"/>
    </w:rPr>
  </w:style>
  <w:style w:type="character" w:styleId="ListLabel220">
    <w:name w:val="ListLabel 220"/>
    <w:qFormat/>
    <w:rPr>
      <w:rFonts w:cs="Wingdings"/>
    </w:rPr>
  </w:style>
  <w:style w:type="character" w:styleId="ListLabel221">
    <w:name w:val="ListLabel 221"/>
    <w:qFormat/>
    <w:rPr>
      <w:rFonts w:ascii="Arial" w:hAnsi="Arial"/>
      <w:b/>
      <w:sz w:val="20"/>
    </w:rPr>
  </w:style>
  <w:style w:type="character" w:styleId="ListLabel222">
    <w:name w:val="ListLabel 222"/>
    <w:qFormat/>
    <w:rPr>
      <w:rFonts w:ascii="Arial" w:hAnsi="Arial"/>
      <w:b/>
      <w:bCs/>
      <w:color w:val="00000A"/>
      <w:sz w:val="20"/>
      <w:szCs w:val="20"/>
    </w:rPr>
  </w:style>
  <w:style w:type="character" w:styleId="ListLabel223">
    <w:name w:val="ListLabel 223"/>
    <w:qFormat/>
    <w:rPr>
      <w:rFonts w:ascii="Times New Roman" w:hAnsi="Times New Roman"/>
      <w:b/>
      <w:bCs/>
      <w:color w:val="00000A"/>
      <w:sz w:val="22"/>
      <w:szCs w:val="20"/>
    </w:rPr>
  </w:style>
  <w:style w:type="character" w:styleId="ListLabel224">
    <w:name w:val="ListLabel 224"/>
    <w:qFormat/>
    <w:rPr>
      <w:rFonts w:ascii="Times New Roman" w:hAnsi="Times New Roman" w:cs="Wingdings"/>
      <w:b/>
      <w:sz w:val="22"/>
    </w:rPr>
  </w:style>
  <w:style w:type="character" w:styleId="ListLabel225">
    <w:name w:val="ListLabel 225"/>
    <w:qFormat/>
    <w:rPr>
      <w:rFonts w:cs="Wingdings"/>
    </w:rPr>
  </w:style>
  <w:style w:type="character" w:styleId="ListLabel226">
    <w:name w:val="ListLabel 226"/>
    <w:qFormat/>
    <w:rPr>
      <w:rFonts w:cs="Wingdings"/>
    </w:rPr>
  </w:style>
  <w:style w:type="character" w:styleId="ListLabel227">
    <w:name w:val="ListLabel 227"/>
    <w:qFormat/>
    <w:rPr>
      <w:rFonts w:cs="Wingdings"/>
    </w:rPr>
  </w:style>
  <w:style w:type="character" w:styleId="ListLabel228">
    <w:name w:val="ListLabel 228"/>
    <w:qFormat/>
    <w:rPr>
      <w:rFonts w:cs="Wingdings"/>
    </w:rPr>
  </w:style>
  <w:style w:type="character" w:styleId="ListLabel229">
    <w:name w:val="ListLabel 229"/>
    <w:qFormat/>
    <w:rPr>
      <w:rFonts w:cs="Wingdings"/>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Wingdings"/>
    </w:rPr>
  </w:style>
  <w:style w:type="character" w:styleId="ListLabel233">
    <w:name w:val="ListLabel 233"/>
    <w:qFormat/>
    <w:rPr>
      <w:rFonts w:ascii="Arial" w:hAnsi="Arial"/>
      <w:b/>
      <w:sz w:val="20"/>
    </w:rPr>
  </w:style>
  <w:style w:type="character" w:styleId="ListLabel234">
    <w:name w:val="ListLabel 234"/>
    <w:qFormat/>
    <w:rPr>
      <w:rFonts w:ascii="Arial" w:hAnsi="Arial"/>
      <w:b/>
      <w:bCs/>
      <w:color w:val="00000A"/>
      <w:sz w:val="20"/>
      <w:szCs w:val="20"/>
    </w:rPr>
  </w:style>
  <w:style w:type="character" w:styleId="ListLabel235">
    <w:name w:val="ListLabel 235"/>
    <w:qFormat/>
    <w:rPr>
      <w:rFonts w:ascii="Times New Roman" w:hAnsi="Times New Roman"/>
      <w:b/>
      <w:bCs/>
      <w:color w:val="00000A"/>
      <w:sz w:val="22"/>
      <w:szCs w:val="20"/>
    </w:rPr>
  </w:style>
  <w:style w:type="character" w:styleId="ListLabel236">
    <w:name w:val="ListLabel 236"/>
    <w:qFormat/>
    <w:rPr>
      <w:rFonts w:ascii="Times New Roman" w:hAnsi="Times New Roman" w:cs="Wingdings"/>
      <w:b/>
      <w:sz w:val="22"/>
    </w:rPr>
  </w:style>
  <w:style w:type="character" w:styleId="ListLabel237">
    <w:name w:val="ListLabel 237"/>
    <w:qFormat/>
    <w:rPr>
      <w:rFonts w:cs="Wingdings"/>
    </w:rPr>
  </w:style>
  <w:style w:type="character" w:styleId="ListLabel238">
    <w:name w:val="ListLabel 238"/>
    <w:qFormat/>
    <w:rPr>
      <w:rFonts w:cs="Wingdings"/>
    </w:rPr>
  </w:style>
  <w:style w:type="character" w:styleId="ListLabel239">
    <w:name w:val="ListLabel 239"/>
    <w:qFormat/>
    <w:rPr>
      <w:rFonts w:cs="Wingdings"/>
    </w:rPr>
  </w:style>
  <w:style w:type="character" w:styleId="ListLabel240">
    <w:name w:val="ListLabel 240"/>
    <w:qFormat/>
    <w:rPr>
      <w:rFonts w:cs="Wingdings"/>
    </w:rPr>
  </w:style>
  <w:style w:type="character" w:styleId="ListLabel241">
    <w:name w:val="ListLabel 241"/>
    <w:qFormat/>
    <w:rPr>
      <w:rFonts w:cs="Wingdings"/>
    </w:rPr>
  </w:style>
  <w:style w:type="character" w:styleId="ListLabel242">
    <w:name w:val="ListLabel 242"/>
    <w:qFormat/>
    <w:rPr>
      <w:rFonts w:cs="Wingdings"/>
    </w:rPr>
  </w:style>
  <w:style w:type="character" w:styleId="ListLabel243">
    <w:name w:val="ListLabel 243"/>
    <w:qFormat/>
    <w:rPr>
      <w:rFonts w:cs="Wingdings"/>
    </w:rPr>
  </w:style>
  <w:style w:type="character" w:styleId="ListLabel244">
    <w:name w:val="ListLabel 244"/>
    <w:qFormat/>
    <w:rPr>
      <w:rFonts w:cs="Wingdings"/>
    </w:rPr>
  </w:style>
  <w:style w:type="character" w:styleId="ListLabel245">
    <w:name w:val="ListLabel 245"/>
    <w:qFormat/>
    <w:rPr>
      <w:rFonts w:ascii="Arial" w:hAnsi="Arial"/>
      <w:b/>
      <w:sz w:val="20"/>
    </w:rPr>
  </w:style>
  <w:style w:type="character" w:styleId="ListLabel246">
    <w:name w:val="ListLabel 246"/>
    <w:qFormat/>
    <w:rPr>
      <w:rFonts w:ascii="Arial" w:hAnsi="Arial"/>
      <w:b/>
      <w:bCs/>
      <w:color w:val="00000A"/>
      <w:sz w:val="20"/>
      <w:szCs w:val="20"/>
    </w:rPr>
  </w:style>
  <w:style w:type="character" w:styleId="ListLabel247">
    <w:name w:val="ListLabel 247"/>
    <w:qFormat/>
    <w:rPr>
      <w:rFonts w:ascii="Times New Roman" w:hAnsi="Times New Roman"/>
      <w:b/>
      <w:bCs/>
      <w:color w:val="00000A"/>
      <w:sz w:val="22"/>
      <w:szCs w:val="20"/>
    </w:rPr>
  </w:style>
  <w:style w:type="character" w:styleId="ListLabel248">
    <w:name w:val="ListLabel 248"/>
    <w:qFormat/>
    <w:rPr>
      <w:rFonts w:ascii="Times New Roman" w:hAnsi="Times New Roman" w:cs="Wingdings"/>
      <w:b/>
      <w:sz w:val="22"/>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Wingdings"/>
    </w:rPr>
  </w:style>
  <w:style w:type="character" w:styleId="ListLabel252">
    <w:name w:val="ListLabel 252"/>
    <w:qFormat/>
    <w:rPr>
      <w:rFonts w:cs="Wingdings"/>
    </w:rPr>
  </w:style>
  <w:style w:type="character" w:styleId="ListLabel253">
    <w:name w:val="ListLabel 253"/>
    <w:qFormat/>
    <w:rPr>
      <w:rFonts w:cs="Wingdings"/>
    </w:rPr>
  </w:style>
  <w:style w:type="character" w:styleId="ListLabel254">
    <w:name w:val="ListLabel 254"/>
    <w:qFormat/>
    <w:rPr>
      <w:rFonts w:cs="Wingdings"/>
    </w:rPr>
  </w:style>
  <w:style w:type="character" w:styleId="ListLabel255">
    <w:name w:val="ListLabel 255"/>
    <w:qFormat/>
    <w:rPr>
      <w:rFonts w:cs="Wingdings"/>
    </w:rPr>
  </w:style>
  <w:style w:type="character" w:styleId="ListLabel256">
    <w:name w:val="ListLabel 256"/>
    <w:qFormat/>
    <w:rPr>
      <w:rFonts w:cs="Wingdings"/>
    </w:rPr>
  </w:style>
  <w:style w:type="character" w:styleId="ListLabel257">
    <w:name w:val="ListLabel 257"/>
    <w:qFormat/>
    <w:rPr>
      <w:rFonts w:ascii="Arial" w:hAnsi="Arial"/>
      <w:b/>
      <w:sz w:val="20"/>
    </w:rPr>
  </w:style>
  <w:style w:type="character" w:styleId="ListLabel258">
    <w:name w:val="ListLabel 258"/>
    <w:qFormat/>
    <w:rPr>
      <w:rFonts w:ascii="Arial" w:hAnsi="Arial"/>
      <w:b/>
      <w:bCs/>
      <w:color w:val="00000A"/>
      <w:sz w:val="20"/>
      <w:szCs w:val="20"/>
    </w:rPr>
  </w:style>
  <w:style w:type="character" w:styleId="ListLabel259">
    <w:name w:val="ListLabel 259"/>
    <w:qFormat/>
    <w:rPr>
      <w:rFonts w:ascii="Times New Roman" w:hAnsi="Times New Roman"/>
      <w:b/>
      <w:bCs/>
      <w:color w:val="00000A"/>
      <w:sz w:val="22"/>
      <w:szCs w:val="20"/>
    </w:rPr>
  </w:style>
  <w:style w:type="character" w:styleId="ListLabel260">
    <w:name w:val="ListLabel 260"/>
    <w:qFormat/>
    <w:rPr>
      <w:rFonts w:ascii="Times New Roman" w:hAnsi="Times New Roman" w:cs="Wingdings"/>
      <w:b/>
      <w:sz w:val="22"/>
    </w:rPr>
  </w:style>
  <w:style w:type="character" w:styleId="ListLabel261">
    <w:name w:val="ListLabel 261"/>
    <w:qFormat/>
    <w:rPr>
      <w:rFonts w:cs="Wingdings"/>
    </w:rPr>
  </w:style>
  <w:style w:type="character" w:styleId="ListLabel262">
    <w:name w:val="ListLabel 262"/>
    <w:qFormat/>
    <w:rPr>
      <w:rFonts w:cs="Wingdings"/>
    </w:rPr>
  </w:style>
  <w:style w:type="character" w:styleId="ListLabel263">
    <w:name w:val="ListLabel 263"/>
    <w:qFormat/>
    <w:rPr>
      <w:rFonts w:cs="Wingdings"/>
    </w:rPr>
  </w:style>
  <w:style w:type="character" w:styleId="ListLabel264">
    <w:name w:val="ListLabel 264"/>
    <w:qFormat/>
    <w:rPr>
      <w:rFonts w:cs="Wingdings"/>
    </w:rPr>
  </w:style>
  <w:style w:type="character" w:styleId="ListLabel265">
    <w:name w:val="ListLabel 265"/>
    <w:qFormat/>
    <w:rPr>
      <w:rFonts w:cs="Wingdings"/>
    </w:rPr>
  </w:style>
  <w:style w:type="character" w:styleId="ListLabel266">
    <w:name w:val="ListLabel 266"/>
    <w:qFormat/>
    <w:rPr>
      <w:rFonts w:cs="Wingdings"/>
    </w:rPr>
  </w:style>
  <w:style w:type="character" w:styleId="ListLabel267">
    <w:name w:val="ListLabel 267"/>
    <w:qFormat/>
    <w:rPr>
      <w:rFonts w:cs="Wingdings"/>
    </w:rPr>
  </w:style>
  <w:style w:type="character" w:styleId="ListLabel268">
    <w:name w:val="ListLabel 268"/>
    <w:qFormat/>
    <w:rPr>
      <w:rFonts w:cs="Wingdings"/>
    </w:rPr>
  </w:style>
  <w:style w:type="character" w:styleId="ListLabel269">
    <w:name w:val="ListLabel 269"/>
    <w:qFormat/>
    <w:rPr>
      <w:rFonts w:ascii="Arial" w:hAnsi="Arial"/>
      <w:b/>
      <w:sz w:val="20"/>
    </w:rPr>
  </w:style>
  <w:style w:type="character" w:styleId="ListLabel270">
    <w:name w:val="ListLabel 270"/>
    <w:qFormat/>
    <w:rPr>
      <w:rFonts w:ascii="Arial" w:hAnsi="Arial"/>
      <w:b/>
      <w:bCs/>
      <w:color w:val="00000A"/>
      <w:sz w:val="20"/>
      <w:szCs w:val="20"/>
    </w:rPr>
  </w:style>
  <w:style w:type="character" w:styleId="ListLabel271">
    <w:name w:val="ListLabel 271"/>
    <w:qFormat/>
    <w:rPr>
      <w:rFonts w:ascii="Times New Roman" w:hAnsi="Times New Roman"/>
      <w:b/>
      <w:bCs/>
      <w:color w:val="00000A"/>
      <w:sz w:val="22"/>
      <w:szCs w:val="20"/>
    </w:rPr>
  </w:style>
  <w:style w:type="character" w:styleId="ListLabel272">
    <w:name w:val="ListLabel 272"/>
    <w:qFormat/>
    <w:rPr>
      <w:rFonts w:ascii="Times New Roman" w:hAnsi="Times New Roman" w:cs="Wingdings"/>
      <w:b/>
      <w:sz w:val="22"/>
    </w:rPr>
  </w:style>
  <w:style w:type="character" w:styleId="ListLabel273">
    <w:name w:val="ListLabel 273"/>
    <w:qFormat/>
    <w:rPr>
      <w:rFonts w:cs="Wingdings"/>
    </w:rPr>
  </w:style>
  <w:style w:type="character" w:styleId="ListLabel274">
    <w:name w:val="ListLabel 274"/>
    <w:qFormat/>
    <w:rPr>
      <w:rFonts w:cs="Wingdings"/>
    </w:rPr>
  </w:style>
  <w:style w:type="character" w:styleId="ListLabel275">
    <w:name w:val="ListLabel 275"/>
    <w:qFormat/>
    <w:rPr>
      <w:rFonts w:cs="Wingdings"/>
    </w:rPr>
  </w:style>
  <w:style w:type="character" w:styleId="ListLabel276">
    <w:name w:val="ListLabel 276"/>
    <w:qFormat/>
    <w:rPr>
      <w:rFonts w:cs="Wingdings"/>
    </w:rPr>
  </w:style>
  <w:style w:type="character" w:styleId="ListLabel277">
    <w:name w:val="ListLabel 277"/>
    <w:qFormat/>
    <w:rPr>
      <w:rFonts w:cs="Wingdings"/>
    </w:rPr>
  </w:style>
  <w:style w:type="character" w:styleId="ListLabel278">
    <w:name w:val="ListLabel 278"/>
    <w:qFormat/>
    <w:rPr>
      <w:rFonts w:cs="Wingdings"/>
    </w:rPr>
  </w:style>
  <w:style w:type="character" w:styleId="ListLabel279">
    <w:name w:val="ListLabel 279"/>
    <w:qFormat/>
    <w:rPr>
      <w:rFonts w:cs="Wingdings"/>
    </w:rPr>
  </w:style>
  <w:style w:type="character" w:styleId="ListLabel280">
    <w:name w:val="ListLabel 280"/>
    <w:qFormat/>
    <w:rPr>
      <w:rFonts w:cs="Wingdings"/>
    </w:rPr>
  </w:style>
  <w:style w:type="character" w:styleId="ListLabel281">
    <w:name w:val="ListLabel 281"/>
    <w:qFormat/>
    <w:rPr>
      <w:rFonts w:ascii="Arial" w:hAnsi="Arial"/>
      <w:b/>
      <w:sz w:val="20"/>
    </w:rPr>
  </w:style>
  <w:style w:type="character" w:styleId="ListLabel282">
    <w:name w:val="ListLabel 282"/>
    <w:qFormat/>
    <w:rPr>
      <w:rFonts w:ascii="Arial" w:hAnsi="Arial"/>
      <w:b/>
      <w:bCs/>
      <w:color w:val="00000A"/>
      <w:sz w:val="20"/>
      <w:szCs w:val="20"/>
    </w:rPr>
  </w:style>
  <w:style w:type="character" w:styleId="ListLabel283">
    <w:name w:val="ListLabel 283"/>
    <w:qFormat/>
    <w:rPr>
      <w:rFonts w:ascii="Times New Roman" w:hAnsi="Times New Roman"/>
      <w:b/>
      <w:bCs/>
      <w:color w:val="00000A"/>
      <w:sz w:val="22"/>
      <w:szCs w:val="20"/>
    </w:rPr>
  </w:style>
  <w:style w:type="character" w:styleId="ListLabel284">
    <w:name w:val="ListLabel 284"/>
    <w:qFormat/>
    <w:rPr>
      <w:rFonts w:ascii="Times New Roman" w:hAnsi="Times New Roman" w:cs="Wingdings"/>
      <w:b/>
      <w:sz w:val="22"/>
    </w:rPr>
  </w:style>
  <w:style w:type="character" w:styleId="ListLabel285">
    <w:name w:val="ListLabel 285"/>
    <w:qFormat/>
    <w:rPr>
      <w:rFonts w:cs="Wingdings"/>
    </w:rPr>
  </w:style>
  <w:style w:type="character" w:styleId="ListLabel286">
    <w:name w:val="ListLabel 286"/>
    <w:qFormat/>
    <w:rPr>
      <w:rFonts w:cs="Wingdings"/>
    </w:rPr>
  </w:style>
  <w:style w:type="character" w:styleId="ListLabel287">
    <w:name w:val="ListLabel 287"/>
    <w:qFormat/>
    <w:rPr>
      <w:rFonts w:cs="Wingdings"/>
    </w:rPr>
  </w:style>
  <w:style w:type="character" w:styleId="ListLabel288">
    <w:name w:val="ListLabel 288"/>
    <w:qFormat/>
    <w:rPr>
      <w:rFonts w:cs="Wingdings"/>
    </w:rPr>
  </w:style>
  <w:style w:type="character" w:styleId="ListLabel289">
    <w:name w:val="ListLabel 289"/>
    <w:qFormat/>
    <w:rPr>
      <w:rFonts w:cs="Wingdings"/>
    </w:rPr>
  </w:style>
  <w:style w:type="character" w:styleId="ListLabel290">
    <w:name w:val="ListLabel 290"/>
    <w:qFormat/>
    <w:rPr>
      <w:rFonts w:cs="Wingdings"/>
    </w:rPr>
  </w:style>
  <w:style w:type="character" w:styleId="ListLabel291">
    <w:name w:val="ListLabel 291"/>
    <w:qFormat/>
    <w:rPr>
      <w:rFonts w:cs="Wingdings"/>
    </w:rPr>
  </w:style>
  <w:style w:type="character" w:styleId="ListLabel292">
    <w:name w:val="ListLabel 292"/>
    <w:qFormat/>
    <w:rPr>
      <w:rFonts w:cs="Wingdings"/>
    </w:rPr>
  </w:style>
  <w:style w:type="character" w:styleId="ListLabel293">
    <w:name w:val="ListLabel 293"/>
    <w:qFormat/>
    <w:rPr>
      <w:rFonts w:ascii="Arial" w:hAnsi="Arial"/>
      <w:b/>
      <w:sz w:val="20"/>
    </w:rPr>
  </w:style>
  <w:style w:type="character" w:styleId="ListLabel294">
    <w:name w:val="ListLabel 294"/>
    <w:qFormat/>
    <w:rPr>
      <w:rFonts w:ascii="Arial" w:hAnsi="Arial"/>
      <w:b/>
      <w:bCs/>
      <w:color w:val="00000A"/>
      <w:sz w:val="20"/>
      <w:szCs w:val="20"/>
    </w:rPr>
  </w:style>
  <w:style w:type="character" w:styleId="ListLabel295">
    <w:name w:val="ListLabel 295"/>
    <w:qFormat/>
    <w:rPr>
      <w:rFonts w:ascii="Times New Roman" w:hAnsi="Times New Roman"/>
      <w:b/>
      <w:bCs/>
      <w:color w:val="00000A"/>
      <w:sz w:val="22"/>
      <w:szCs w:val="20"/>
    </w:rPr>
  </w:style>
  <w:style w:type="character" w:styleId="ListLabel296">
    <w:name w:val="ListLabel 296"/>
    <w:qFormat/>
    <w:rPr>
      <w:rFonts w:ascii="Times New Roman" w:hAnsi="Times New Roman" w:cs="Wingdings"/>
      <w:b/>
      <w:sz w:val="22"/>
    </w:rPr>
  </w:style>
  <w:style w:type="character" w:styleId="ListLabel297">
    <w:name w:val="ListLabel 297"/>
    <w:qFormat/>
    <w:rPr>
      <w:rFonts w:cs="Wingdings"/>
    </w:rPr>
  </w:style>
  <w:style w:type="character" w:styleId="ListLabel298">
    <w:name w:val="ListLabel 298"/>
    <w:qFormat/>
    <w:rPr>
      <w:rFonts w:cs="Wingdings"/>
    </w:rPr>
  </w:style>
  <w:style w:type="character" w:styleId="ListLabel299">
    <w:name w:val="ListLabel 299"/>
    <w:qFormat/>
    <w:rPr>
      <w:rFonts w:cs="Wingdings"/>
    </w:rPr>
  </w:style>
  <w:style w:type="character" w:styleId="ListLabel300">
    <w:name w:val="ListLabel 300"/>
    <w:qFormat/>
    <w:rPr>
      <w:rFonts w:cs="Wingdings"/>
    </w:rPr>
  </w:style>
  <w:style w:type="character" w:styleId="ListLabel301">
    <w:name w:val="ListLabel 301"/>
    <w:qFormat/>
    <w:rPr>
      <w:rFonts w:cs="Wingdings"/>
    </w:rPr>
  </w:style>
  <w:style w:type="character" w:styleId="ListLabel302">
    <w:name w:val="ListLabel 302"/>
    <w:qFormat/>
    <w:rPr>
      <w:rFonts w:cs="Wingdings"/>
    </w:rPr>
  </w:style>
  <w:style w:type="character" w:styleId="ListLabel303">
    <w:name w:val="ListLabel 303"/>
    <w:qFormat/>
    <w:rPr>
      <w:rFonts w:cs="Wingdings"/>
    </w:rPr>
  </w:style>
  <w:style w:type="character" w:styleId="ListLabel304">
    <w:name w:val="ListLabel 304"/>
    <w:qFormat/>
    <w:rPr>
      <w:rFonts w:cs="Wingdings"/>
    </w:rPr>
  </w:style>
  <w:style w:type="character" w:styleId="ListLabel305">
    <w:name w:val="ListLabel 305"/>
    <w:qFormat/>
    <w:rPr>
      <w:rFonts w:ascii="Times New Roman" w:hAnsi="Times New Roman"/>
      <w:b/>
      <w:sz w:val="22"/>
    </w:rPr>
  </w:style>
  <w:style w:type="character" w:styleId="ListLabel306">
    <w:name w:val="ListLabel 306"/>
    <w:qFormat/>
    <w:rPr>
      <w:rFonts w:ascii="Times New Roman" w:hAnsi="Times New Roman"/>
      <w:b/>
      <w:bCs/>
      <w:color w:val="00000A"/>
      <w:sz w:val="22"/>
      <w:szCs w:val="20"/>
    </w:rPr>
  </w:style>
  <w:style w:type="character" w:styleId="ListLabel307">
    <w:name w:val="ListLabel 307"/>
    <w:qFormat/>
    <w:rPr>
      <w:rFonts w:ascii="Times New Roman" w:hAnsi="Times New Roman"/>
      <w:b/>
      <w:bCs/>
      <w:color w:val="00000A"/>
      <w:sz w:val="22"/>
      <w:szCs w:val="20"/>
    </w:rPr>
  </w:style>
  <w:style w:type="character" w:styleId="ListLabel308">
    <w:name w:val="ListLabel 308"/>
    <w:qFormat/>
    <w:rPr>
      <w:rFonts w:ascii="Times New Roman" w:hAnsi="Times New Roman" w:cs="Wingdings"/>
      <w:b/>
      <w:sz w:val="22"/>
    </w:rPr>
  </w:style>
  <w:style w:type="character" w:styleId="ListLabel309">
    <w:name w:val="ListLabel 309"/>
    <w:qFormat/>
    <w:rPr>
      <w:rFonts w:cs="Wingdings"/>
    </w:rPr>
  </w:style>
  <w:style w:type="character" w:styleId="ListLabel310">
    <w:name w:val="ListLabel 310"/>
    <w:qFormat/>
    <w:rPr>
      <w:rFonts w:cs="Wingdings"/>
    </w:rPr>
  </w:style>
  <w:style w:type="character" w:styleId="ListLabel311">
    <w:name w:val="ListLabel 311"/>
    <w:qFormat/>
    <w:rPr>
      <w:rFonts w:cs="Wingdings"/>
    </w:rPr>
  </w:style>
  <w:style w:type="character" w:styleId="ListLabel312">
    <w:name w:val="ListLabel 312"/>
    <w:qFormat/>
    <w:rPr>
      <w:rFonts w:cs="Wingdings"/>
    </w:rPr>
  </w:style>
  <w:style w:type="character" w:styleId="ListLabel313">
    <w:name w:val="ListLabel 313"/>
    <w:qFormat/>
    <w:rPr>
      <w:rFonts w:cs="Wingdings"/>
    </w:rPr>
  </w:style>
  <w:style w:type="character" w:styleId="ListLabel314">
    <w:name w:val="ListLabel 314"/>
    <w:qFormat/>
    <w:rPr>
      <w:rFonts w:cs="Wingdings"/>
    </w:rPr>
  </w:style>
  <w:style w:type="character" w:styleId="ListLabel315">
    <w:name w:val="ListLabel 315"/>
    <w:qFormat/>
    <w:rPr>
      <w:rFonts w:cs="Wingdings"/>
    </w:rPr>
  </w:style>
  <w:style w:type="character" w:styleId="ListLabel316">
    <w:name w:val="ListLabel 316"/>
    <w:qFormat/>
    <w:rPr>
      <w:rFonts w:cs="Wingdings"/>
    </w:rPr>
  </w:style>
  <w:style w:type="character" w:styleId="ListLabel317">
    <w:name w:val="ListLabel 317"/>
    <w:qFormat/>
    <w:rPr>
      <w:rFonts w:ascii="Times New Roman" w:hAnsi="Times New Roman"/>
      <w:b/>
      <w:sz w:val="22"/>
    </w:rPr>
  </w:style>
  <w:style w:type="character" w:styleId="ListLabel318">
    <w:name w:val="ListLabel 318"/>
    <w:qFormat/>
    <w:rPr>
      <w:rFonts w:ascii="Times New Roman" w:hAnsi="Times New Roman"/>
      <w:b/>
      <w:bCs/>
      <w:color w:val="00000A"/>
      <w:sz w:val="22"/>
      <w:szCs w:val="20"/>
    </w:rPr>
  </w:style>
  <w:style w:type="character" w:styleId="ListLabel319">
    <w:name w:val="ListLabel 319"/>
    <w:qFormat/>
    <w:rPr>
      <w:rFonts w:ascii="Times New Roman" w:hAnsi="Times New Roman"/>
      <w:b/>
      <w:bCs/>
      <w:color w:val="00000A"/>
      <w:sz w:val="22"/>
      <w:szCs w:val="20"/>
    </w:rPr>
  </w:style>
  <w:style w:type="character" w:styleId="ListLabel320">
    <w:name w:val="ListLabel 320"/>
    <w:qFormat/>
    <w:rPr>
      <w:rFonts w:ascii="Times New Roman" w:hAnsi="Times New Roman" w:cs="Wingdings"/>
      <w:b/>
      <w:sz w:val="22"/>
    </w:rPr>
  </w:style>
  <w:style w:type="character" w:styleId="ListLabel321">
    <w:name w:val="ListLabel 321"/>
    <w:qFormat/>
    <w:rPr>
      <w:rFonts w:cs="Wingdings"/>
    </w:rPr>
  </w:style>
  <w:style w:type="character" w:styleId="ListLabel322">
    <w:name w:val="ListLabel 322"/>
    <w:qFormat/>
    <w:rPr>
      <w:rFonts w:cs="Wingdings"/>
    </w:rPr>
  </w:style>
  <w:style w:type="character" w:styleId="ListLabel323">
    <w:name w:val="ListLabel 323"/>
    <w:qFormat/>
    <w:rPr>
      <w:rFonts w:cs="Wingdings"/>
    </w:rPr>
  </w:style>
  <w:style w:type="character" w:styleId="ListLabel324">
    <w:name w:val="ListLabel 324"/>
    <w:qFormat/>
    <w:rPr>
      <w:rFonts w:cs="Wingdings"/>
    </w:rPr>
  </w:style>
  <w:style w:type="character" w:styleId="ListLabel325">
    <w:name w:val="ListLabel 325"/>
    <w:qFormat/>
    <w:rPr>
      <w:rFonts w:cs="Wingdings"/>
    </w:rPr>
  </w:style>
  <w:style w:type="character" w:styleId="ListLabel326">
    <w:name w:val="ListLabel 326"/>
    <w:qFormat/>
    <w:rPr>
      <w:rFonts w:cs="Wingdings"/>
    </w:rPr>
  </w:style>
  <w:style w:type="character" w:styleId="ListLabel327">
    <w:name w:val="ListLabel 327"/>
    <w:qFormat/>
    <w:rPr>
      <w:rFonts w:cs="Wingdings"/>
    </w:rPr>
  </w:style>
  <w:style w:type="character" w:styleId="ListLabel328">
    <w:name w:val="ListLabel 328"/>
    <w:qFormat/>
    <w:rPr>
      <w:rFonts w:cs="Wingdings"/>
    </w:rPr>
  </w:style>
  <w:style w:type="character" w:styleId="ListLabel329">
    <w:name w:val="ListLabel 329"/>
    <w:qFormat/>
    <w:rPr>
      <w:rFonts w:ascii="Times New Roman" w:hAnsi="Times New Roman"/>
      <w:b/>
      <w:sz w:val="22"/>
    </w:rPr>
  </w:style>
  <w:style w:type="character" w:styleId="ListLabel330">
    <w:name w:val="ListLabel 330"/>
    <w:qFormat/>
    <w:rPr>
      <w:rFonts w:ascii="Times New Roman" w:hAnsi="Times New Roman"/>
      <w:b/>
      <w:bCs/>
      <w:color w:val="00000A"/>
      <w:sz w:val="22"/>
      <w:szCs w:val="20"/>
    </w:rPr>
  </w:style>
  <w:style w:type="character" w:styleId="ListLabel331">
    <w:name w:val="ListLabel 331"/>
    <w:qFormat/>
    <w:rPr>
      <w:rFonts w:ascii="Times New Roman" w:hAnsi="Times New Roman"/>
      <w:b/>
      <w:bCs/>
      <w:color w:val="00000A"/>
      <w:sz w:val="22"/>
      <w:szCs w:val="20"/>
    </w:rPr>
  </w:style>
  <w:style w:type="character" w:styleId="ListLabel332">
    <w:name w:val="ListLabel 332"/>
    <w:qFormat/>
    <w:rPr>
      <w:rFonts w:ascii="Times New Roman" w:hAnsi="Times New Roman" w:cs="Wingdings"/>
      <w:b/>
      <w:sz w:val="22"/>
    </w:rPr>
  </w:style>
  <w:style w:type="character" w:styleId="ListLabel333">
    <w:name w:val="ListLabel 333"/>
    <w:qFormat/>
    <w:rPr>
      <w:rFonts w:cs="Wingdings"/>
    </w:rPr>
  </w:style>
  <w:style w:type="character" w:styleId="ListLabel334">
    <w:name w:val="ListLabel 334"/>
    <w:qFormat/>
    <w:rPr>
      <w:rFonts w:cs="Wingdings"/>
    </w:rPr>
  </w:style>
  <w:style w:type="character" w:styleId="ListLabel335">
    <w:name w:val="ListLabel 335"/>
    <w:qFormat/>
    <w:rPr>
      <w:rFonts w:cs="Wingdings"/>
    </w:rPr>
  </w:style>
  <w:style w:type="character" w:styleId="ListLabel336">
    <w:name w:val="ListLabel 336"/>
    <w:qFormat/>
    <w:rPr>
      <w:rFonts w:cs="Wingdings"/>
    </w:rPr>
  </w:style>
  <w:style w:type="character" w:styleId="ListLabel337">
    <w:name w:val="ListLabel 337"/>
    <w:qFormat/>
    <w:rPr>
      <w:rFonts w:cs="Wingdings"/>
    </w:rPr>
  </w:style>
  <w:style w:type="character" w:styleId="ListLabel338">
    <w:name w:val="ListLabel 338"/>
    <w:qFormat/>
    <w:rPr>
      <w:rFonts w:cs="Wingdings"/>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ascii="Times New Roman" w:hAnsi="Times New Roman"/>
      <w:b/>
      <w:sz w:val="22"/>
    </w:rPr>
  </w:style>
  <w:style w:type="character" w:styleId="ListLabel342">
    <w:name w:val="ListLabel 342"/>
    <w:qFormat/>
    <w:rPr>
      <w:rFonts w:ascii="Times New Roman" w:hAnsi="Times New Roman"/>
      <w:b/>
      <w:bCs/>
      <w:color w:val="00000A"/>
      <w:sz w:val="22"/>
      <w:szCs w:val="20"/>
    </w:rPr>
  </w:style>
  <w:style w:type="character" w:styleId="ListLabel343">
    <w:name w:val="ListLabel 343"/>
    <w:qFormat/>
    <w:rPr>
      <w:rFonts w:ascii="Times New Roman" w:hAnsi="Times New Roman"/>
      <w:b/>
      <w:bCs/>
      <w:color w:val="00000A"/>
      <w:sz w:val="22"/>
      <w:szCs w:val="20"/>
    </w:rPr>
  </w:style>
  <w:style w:type="character" w:styleId="ListLabel344">
    <w:name w:val="ListLabel 344"/>
    <w:qFormat/>
    <w:rPr>
      <w:rFonts w:ascii="Times New Roman" w:hAnsi="Times New Roman" w:cs="Wingdings"/>
      <w:b/>
      <w:sz w:val="22"/>
    </w:rPr>
  </w:style>
  <w:style w:type="character" w:styleId="ListLabel345">
    <w:name w:val="ListLabel 345"/>
    <w:qFormat/>
    <w:rPr>
      <w:rFonts w:cs="Wingdings"/>
    </w:rPr>
  </w:style>
  <w:style w:type="character" w:styleId="ListLabel346">
    <w:name w:val="ListLabel 346"/>
    <w:qFormat/>
    <w:rPr>
      <w:rFonts w:cs="Wingdings"/>
    </w:rPr>
  </w:style>
  <w:style w:type="character" w:styleId="ListLabel347">
    <w:name w:val="ListLabel 347"/>
    <w:qFormat/>
    <w:rPr>
      <w:rFonts w:cs="Wingdings"/>
    </w:rPr>
  </w:style>
  <w:style w:type="character" w:styleId="ListLabel348">
    <w:name w:val="ListLabel 348"/>
    <w:qFormat/>
    <w:rPr>
      <w:rFonts w:cs="Wingdings"/>
    </w:rPr>
  </w:style>
  <w:style w:type="character" w:styleId="ListLabel349">
    <w:name w:val="ListLabel 349"/>
    <w:qFormat/>
    <w:rPr>
      <w:rFonts w:cs="Wingdings"/>
    </w:rPr>
  </w:style>
  <w:style w:type="character" w:styleId="ListLabel350">
    <w:name w:val="ListLabel 350"/>
    <w:qFormat/>
    <w:rPr>
      <w:rFonts w:cs="Wingdings"/>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ascii="Arial" w:hAnsi="Arial"/>
      <w:b/>
      <w:sz w:val="20"/>
    </w:rPr>
  </w:style>
  <w:style w:type="character" w:styleId="ListLabel354">
    <w:name w:val="ListLabel 354"/>
    <w:qFormat/>
    <w:rPr>
      <w:b w:val="false"/>
      <w:color w:val="00000A"/>
      <w:sz w:val="20"/>
      <w:szCs w:val="20"/>
    </w:rPr>
  </w:style>
  <w:style w:type="character" w:styleId="ListLabel355">
    <w:name w:val="ListLabel 355"/>
    <w:qFormat/>
    <w:rPr>
      <w:sz w:val="20"/>
      <w:szCs w:val="20"/>
    </w:rPr>
  </w:style>
  <w:style w:type="character" w:styleId="ListLabel356">
    <w:name w:val="ListLabel 356"/>
    <w:qFormat/>
    <w:rPr>
      <w:rFonts w:ascii="Times New Roman" w:hAnsi="Times New Roman"/>
      <w:b/>
      <w:sz w:val="22"/>
    </w:rPr>
  </w:style>
  <w:style w:type="character" w:styleId="ListLabel357">
    <w:name w:val="ListLabel 357"/>
    <w:qFormat/>
    <w:rPr>
      <w:rFonts w:ascii="Times New Roman" w:hAnsi="Times New Roman"/>
      <w:b/>
      <w:bCs/>
      <w:color w:val="00000A"/>
      <w:sz w:val="22"/>
      <w:szCs w:val="20"/>
    </w:rPr>
  </w:style>
  <w:style w:type="character" w:styleId="ListLabel358">
    <w:name w:val="ListLabel 358"/>
    <w:qFormat/>
    <w:rPr>
      <w:rFonts w:ascii="Times New Roman" w:hAnsi="Times New Roman"/>
      <w:b/>
      <w:bCs/>
      <w:color w:val="00000A"/>
      <w:sz w:val="22"/>
      <w:szCs w:val="20"/>
    </w:rPr>
  </w:style>
  <w:style w:type="character" w:styleId="ListLabel359">
    <w:name w:val="ListLabel 359"/>
    <w:qFormat/>
    <w:rPr>
      <w:rFonts w:ascii="Times New Roman" w:hAnsi="Times New Roman" w:cs="Wingdings"/>
      <w:b/>
      <w:sz w:val="22"/>
    </w:rPr>
  </w:style>
  <w:style w:type="character" w:styleId="ListLabel360">
    <w:name w:val="ListLabel 360"/>
    <w:qFormat/>
    <w:rPr>
      <w:rFonts w:cs="Wingdings"/>
    </w:rPr>
  </w:style>
  <w:style w:type="character" w:styleId="ListLabel361">
    <w:name w:val="ListLabel 361"/>
    <w:qFormat/>
    <w:rPr>
      <w:rFonts w:cs="Wingdings"/>
    </w:rPr>
  </w:style>
  <w:style w:type="character" w:styleId="ListLabel362">
    <w:name w:val="ListLabel 362"/>
    <w:qFormat/>
    <w:rPr>
      <w:rFonts w:cs="Wingdings"/>
    </w:rPr>
  </w:style>
  <w:style w:type="character" w:styleId="ListLabel363">
    <w:name w:val="ListLabel 363"/>
    <w:qFormat/>
    <w:rPr>
      <w:rFonts w:cs="Wingdings"/>
    </w:rPr>
  </w:style>
  <w:style w:type="character" w:styleId="ListLabel364">
    <w:name w:val="ListLabel 364"/>
    <w:qFormat/>
    <w:rPr>
      <w:rFonts w:cs="Wingdings"/>
    </w:rPr>
  </w:style>
  <w:style w:type="character" w:styleId="ListLabel365">
    <w:name w:val="ListLabel 365"/>
    <w:qFormat/>
    <w:rPr>
      <w:rFonts w:cs="Wingdings"/>
    </w:rPr>
  </w:style>
  <w:style w:type="character" w:styleId="ListLabel366">
    <w:name w:val="ListLabel 366"/>
    <w:qFormat/>
    <w:rPr>
      <w:rFonts w:cs="Wingdings"/>
    </w:rPr>
  </w:style>
  <w:style w:type="character" w:styleId="ListLabel367">
    <w:name w:val="ListLabel 367"/>
    <w:qFormat/>
    <w:rPr>
      <w:rFonts w:cs="Wingdings"/>
    </w:rPr>
  </w:style>
  <w:style w:type="character" w:styleId="ListLabel368">
    <w:name w:val="ListLabel 368"/>
    <w:qFormat/>
    <w:rPr>
      <w:rFonts w:ascii="Arial" w:hAnsi="Arial"/>
      <w:b/>
      <w:sz w:val="20"/>
    </w:rPr>
  </w:style>
  <w:style w:type="character" w:styleId="ListLabel369">
    <w:name w:val="ListLabel 369"/>
    <w:qFormat/>
    <w:rPr>
      <w:b w:val="false"/>
      <w:color w:val="00000A"/>
      <w:sz w:val="20"/>
      <w:szCs w:val="20"/>
    </w:rPr>
  </w:style>
  <w:style w:type="character" w:styleId="ListLabel370">
    <w:name w:val="ListLabel 370"/>
    <w:qFormat/>
    <w:rPr>
      <w:sz w:val="20"/>
      <w:szCs w:val="20"/>
    </w:rPr>
  </w:style>
  <w:style w:type="character" w:styleId="ListLabel371">
    <w:name w:val="ListLabel 371"/>
    <w:qFormat/>
    <w:rPr>
      <w:rFonts w:ascii="Times New Roman" w:hAnsi="Times New Roman"/>
      <w:b/>
      <w:sz w:val="22"/>
    </w:rPr>
  </w:style>
  <w:style w:type="character" w:styleId="ListLabel372">
    <w:name w:val="ListLabel 372"/>
    <w:qFormat/>
    <w:rPr>
      <w:rFonts w:ascii="Times New Roman" w:hAnsi="Times New Roman"/>
      <w:b/>
      <w:bCs/>
      <w:color w:val="00000A"/>
      <w:sz w:val="22"/>
      <w:szCs w:val="20"/>
    </w:rPr>
  </w:style>
  <w:style w:type="character" w:styleId="ListLabel373">
    <w:name w:val="ListLabel 373"/>
    <w:qFormat/>
    <w:rPr>
      <w:rFonts w:ascii="Times New Roman" w:hAnsi="Times New Roman"/>
      <w:b/>
      <w:bCs/>
      <w:color w:val="00000A"/>
      <w:sz w:val="22"/>
      <w:szCs w:val="20"/>
    </w:rPr>
  </w:style>
  <w:style w:type="character" w:styleId="ListLabel374">
    <w:name w:val="ListLabel 374"/>
    <w:qFormat/>
    <w:rPr>
      <w:rFonts w:ascii="Times New Roman" w:hAnsi="Times New Roman" w:cs="Wingdings"/>
      <w:b/>
      <w:sz w:val="22"/>
    </w:rPr>
  </w:style>
  <w:style w:type="character" w:styleId="ListLabel375">
    <w:name w:val="ListLabel 375"/>
    <w:qFormat/>
    <w:rPr>
      <w:rFonts w:cs="Wingdings"/>
    </w:rPr>
  </w:style>
  <w:style w:type="character" w:styleId="ListLabel376">
    <w:name w:val="ListLabel 376"/>
    <w:qFormat/>
    <w:rPr>
      <w:rFonts w:cs="Wingdings"/>
    </w:rPr>
  </w:style>
  <w:style w:type="character" w:styleId="ListLabel377">
    <w:name w:val="ListLabel 377"/>
    <w:qFormat/>
    <w:rPr>
      <w:rFonts w:cs="Wingdings"/>
    </w:rPr>
  </w:style>
  <w:style w:type="character" w:styleId="ListLabel378">
    <w:name w:val="ListLabel 378"/>
    <w:qFormat/>
    <w:rPr>
      <w:rFonts w:cs="Wingdings"/>
    </w:rPr>
  </w:style>
  <w:style w:type="character" w:styleId="ListLabel379">
    <w:name w:val="ListLabel 379"/>
    <w:qFormat/>
    <w:rPr>
      <w:rFonts w:cs="Wingdings"/>
    </w:rPr>
  </w:style>
  <w:style w:type="character" w:styleId="ListLabel380">
    <w:name w:val="ListLabel 380"/>
    <w:qFormat/>
    <w:rPr>
      <w:rFonts w:cs="Wingdings"/>
    </w:rPr>
  </w:style>
  <w:style w:type="character" w:styleId="ListLabel381">
    <w:name w:val="ListLabel 381"/>
    <w:qFormat/>
    <w:rPr>
      <w:rFonts w:cs="Wingdings"/>
    </w:rPr>
  </w:style>
  <w:style w:type="character" w:styleId="ListLabel382">
    <w:name w:val="ListLabel 382"/>
    <w:qFormat/>
    <w:rPr>
      <w:rFonts w:cs="Wingdings"/>
    </w:rPr>
  </w:style>
  <w:style w:type="character" w:styleId="ListLabel383">
    <w:name w:val="ListLabel 383"/>
    <w:qFormat/>
    <w:rPr>
      <w:rFonts w:ascii="Arial" w:hAnsi="Arial"/>
      <w:b/>
      <w:sz w:val="20"/>
    </w:rPr>
  </w:style>
  <w:style w:type="character" w:styleId="ListLabel384">
    <w:name w:val="ListLabel 384"/>
    <w:qFormat/>
    <w:rPr>
      <w:b w:val="false"/>
      <w:color w:val="00000A"/>
      <w:sz w:val="20"/>
      <w:szCs w:val="20"/>
    </w:rPr>
  </w:style>
  <w:style w:type="character" w:styleId="ListLabel385">
    <w:name w:val="ListLabel 385"/>
    <w:qFormat/>
    <w:rPr>
      <w:sz w:val="20"/>
      <w:szCs w:val="20"/>
    </w:rPr>
  </w:style>
  <w:style w:type="character" w:styleId="ListLabel386">
    <w:name w:val="ListLabel 386"/>
    <w:qFormat/>
    <w:rPr>
      <w:rFonts w:ascii="Times New Roman" w:hAnsi="Times New Roman"/>
      <w:b/>
      <w:sz w:val="22"/>
    </w:rPr>
  </w:style>
  <w:style w:type="character" w:styleId="ListLabel387">
    <w:name w:val="ListLabel 387"/>
    <w:qFormat/>
    <w:rPr>
      <w:rFonts w:ascii="Times New Roman" w:hAnsi="Times New Roman"/>
      <w:b/>
      <w:bCs/>
      <w:color w:val="00000A"/>
      <w:sz w:val="22"/>
      <w:szCs w:val="20"/>
    </w:rPr>
  </w:style>
  <w:style w:type="character" w:styleId="ListLabel388">
    <w:name w:val="ListLabel 388"/>
    <w:qFormat/>
    <w:rPr>
      <w:rFonts w:ascii="Times New Roman" w:hAnsi="Times New Roman"/>
      <w:b/>
      <w:bCs/>
      <w:color w:val="00000A"/>
      <w:sz w:val="22"/>
      <w:szCs w:val="20"/>
    </w:rPr>
  </w:style>
  <w:style w:type="character" w:styleId="ListLabel389">
    <w:name w:val="ListLabel 389"/>
    <w:qFormat/>
    <w:rPr>
      <w:rFonts w:ascii="Times New Roman" w:hAnsi="Times New Roman" w:cs="Wingdings"/>
      <w:b/>
      <w:sz w:val="22"/>
    </w:rPr>
  </w:style>
  <w:style w:type="character" w:styleId="ListLabel390">
    <w:name w:val="ListLabel 390"/>
    <w:qFormat/>
    <w:rPr>
      <w:rFonts w:cs="Wingdings"/>
    </w:rPr>
  </w:style>
  <w:style w:type="character" w:styleId="ListLabel391">
    <w:name w:val="ListLabel 391"/>
    <w:qFormat/>
    <w:rPr>
      <w:rFonts w:cs="Wingdings"/>
    </w:rPr>
  </w:style>
  <w:style w:type="character" w:styleId="ListLabel392">
    <w:name w:val="ListLabel 392"/>
    <w:qFormat/>
    <w:rPr>
      <w:rFonts w:cs="Wingdings"/>
    </w:rPr>
  </w:style>
  <w:style w:type="character" w:styleId="ListLabel393">
    <w:name w:val="ListLabel 393"/>
    <w:qFormat/>
    <w:rPr>
      <w:rFonts w:cs="Wingdings"/>
    </w:rPr>
  </w:style>
  <w:style w:type="character" w:styleId="ListLabel394">
    <w:name w:val="ListLabel 394"/>
    <w:qFormat/>
    <w:rPr>
      <w:rFonts w:cs="Wingdings"/>
    </w:rPr>
  </w:style>
  <w:style w:type="character" w:styleId="ListLabel395">
    <w:name w:val="ListLabel 395"/>
    <w:qFormat/>
    <w:rPr>
      <w:rFonts w:cs="Wingdings"/>
    </w:rPr>
  </w:style>
  <w:style w:type="character" w:styleId="ListLabel396">
    <w:name w:val="ListLabel 396"/>
    <w:qFormat/>
    <w:rPr>
      <w:rFonts w:cs="Wingdings"/>
    </w:rPr>
  </w:style>
  <w:style w:type="character" w:styleId="ListLabel397">
    <w:name w:val="ListLabel 397"/>
    <w:qFormat/>
    <w:rPr>
      <w:rFonts w:cs="Wingdings"/>
    </w:rPr>
  </w:style>
  <w:style w:type="character" w:styleId="ListLabel398">
    <w:name w:val="ListLabel 398"/>
    <w:qFormat/>
    <w:rPr>
      <w:rFonts w:ascii="Arial" w:hAnsi="Arial"/>
      <w:b/>
      <w:sz w:val="20"/>
    </w:rPr>
  </w:style>
  <w:style w:type="character" w:styleId="ListLabel399">
    <w:name w:val="ListLabel 399"/>
    <w:qFormat/>
    <w:rPr>
      <w:b w:val="false"/>
      <w:color w:val="00000A"/>
      <w:sz w:val="20"/>
      <w:szCs w:val="20"/>
    </w:rPr>
  </w:style>
  <w:style w:type="character" w:styleId="ListLabel400">
    <w:name w:val="ListLabel 400"/>
    <w:qFormat/>
    <w:rPr>
      <w:sz w:val="20"/>
      <w:szCs w:val="20"/>
    </w:rPr>
  </w:style>
  <w:style w:type="character" w:styleId="ListLabel401">
    <w:name w:val="ListLabel 401"/>
    <w:qFormat/>
    <w:rPr>
      <w:rFonts w:ascii="Times New Roman" w:hAnsi="Times New Roman"/>
      <w:b/>
      <w:sz w:val="22"/>
    </w:rPr>
  </w:style>
  <w:style w:type="character" w:styleId="ListLabel402">
    <w:name w:val="ListLabel 402"/>
    <w:qFormat/>
    <w:rPr>
      <w:rFonts w:ascii="Times New Roman" w:hAnsi="Times New Roman"/>
      <w:b/>
      <w:bCs/>
      <w:color w:val="00000A"/>
      <w:sz w:val="22"/>
      <w:szCs w:val="20"/>
    </w:rPr>
  </w:style>
  <w:style w:type="character" w:styleId="ListLabel403">
    <w:name w:val="ListLabel 403"/>
    <w:qFormat/>
    <w:rPr>
      <w:rFonts w:ascii="Times New Roman" w:hAnsi="Times New Roman"/>
      <w:b/>
      <w:bCs/>
      <w:color w:val="00000A"/>
      <w:sz w:val="22"/>
      <w:szCs w:val="20"/>
    </w:rPr>
  </w:style>
  <w:style w:type="character" w:styleId="ListLabel404">
    <w:name w:val="ListLabel 404"/>
    <w:qFormat/>
    <w:rPr>
      <w:rFonts w:ascii="Times New Roman" w:hAnsi="Times New Roman" w:cs="Wingdings"/>
      <w:b/>
      <w:sz w:val="22"/>
    </w:rPr>
  </w:style>
  <w:style w:type="character" w:styleId="ListLabel405">
    <w:name w:val="ListLabel 405"/>
    <w:qFormat/>
    <w:rPr>
      <w:rFonts w:cs="Wingdings"/>
    </w:rPr>
  </w:style>
  <w:style w:type="character" w:styleId="ListLabel406">
    <w:name w:val="ListLabel 406"/>
    <w:qFormat/>
    <w:rPr>
      <w:rFonts w:cs="Wingdings"/>
    </w:rPr>
  </w:style>
  <w:style w:type="character" w:styleId="ListLabel407">
    <w:name w:val="ListLabel 407"/>
    <w:qFormat/>
    <w:rPr>
      <w:rFonts w:cs="Wingdings"/>
    </w:rPr>
  </w:style>
  <w:style w:type="character" w:styleId="ListLabel408">
    <w:name w:val="ListLabel 408"/>
    <w:qFormat/>
    <w:rPr>
      <w:rFonts w:cs="Wingdings"/>
    </w:rPr>
  </w:style>
  <w:style w:type="character" w:styleId="ListLabel409">
    <w:name w:val="ListLabel 409"/>
    <w:qFormat/>
    <w:rPr>
      <w:rFonts w:cs="Wingdings"/>
    </w:rPr>
  </w:style>
  <w:style w:type="character" w:styleId="ListLabel410">
    <w:name w:val="ListLabel 410"/>
    <w:qFormat/>
    <w:rPr>
      <w:rFonts w:cs="Wingdings"/>
    </w:rPr>
  </w:style>
  <w:style w:type="character" w:styleId="ListLabel411">
    <w:name w:val="ListLabel 411"/>
    <w:qFormat/>
    <w:rPr>
      <w:rFonts w:cs="Wingdings"/>
    </w:rPr>
  </w:style>
  <w:style w:type="character" w:styleId="ListLabel412">
    <w:name w:val="ListLabel 412"/>
    <w:qFormat/>
    <w:rPr>
      <w:rFonts w:cs="Wingdings"/>
    </w:rPr>
  </w:style>
  <w:style w:type="character" w:styleId="ListLabel413">
    <w:name w:val="ListLabel 413"/>
    <w:qFormat/>
    <w:rPr>
      <w:rFonts w:ascii="Arial" w:hAnsi="Arial"/>
      <w:b/>
      <w:sz w:val="20"/>
    </w:rPr>
  </w:style>
  <w:style w:type="character" w:styleId="ListLabel414">
    <w:name w:val="ListLabel 414"/>
    <w:qFormat/>
    <w:rPr>
      <w:b w:val="false"/>
      <w:color w:val="00000A"/>
      <w:sz w:val="20"/>
      <w:szCs w:val="20"/>
    </w:rPr>
  </w:style>
  <w:style w:type="character" w:styleId="ListLabel415">
    <w:name w:val="ListLabel 415"/>
    <w:qFormat/>
    <w:rPr>
      <w:sz w:val="20"/>
      <w:szCs w:val="20"/>
    </w:rPr>
  </w:style>
  <w:style w:type="character" w:styleId="ListLabel416">
    <w:name w:val="ListLabel 416"/>
    <w:qFormat/>
    <w:rPr>
      <w:rFonts w:ascii="Times New Roman" w:hAnsi="Times New Roman"/>
      <w:b/>
      <w:sz w:val="22"/>
    </w:rPr>
  </w:style>
  <w:style w:type="character" w:styleId="ListLabel417">
    <w:name w:val="ListLabel 417"/>
    <w:qFormat/>
    <w:rPr>
      <w:rFonts w:ascii="Times New Roman" w:hAnsi="Times New Roman"/>
      <w:b/>
      <w:bCs/>
      <w:color w:val="00000A"/>
      <w:sz w:val="22"/>
      <w:szCs w:val="20"/>
    </w:rPr>
  </w:style>
  <w:style w:type="character" w:styleId="ListLabel418">
    <w:name w:val="ListLabel 418"/>
    <w:qFormat/>
    <w:rPr>
      <w:rFonts w:ascii="Times New Roman" w:hAnsi="Times New Roman"/>
      <w:b/>
      <w:bCs/>
      <w:color w:val="00000A"/>
      <w:sz w:val="22"/>
      <w:szCs w:val="20"/>
    </w:rPr>
  </w:style>
  <w:style w:type="character" w:styleId="ListLabel419">
    <w:name w:val="ListLabel 419"/>
    <w:qFormat/>
    <w:rPr>
      <w:rFonts w:ascii="Times New Roman" w:hAnsi="Times New Roman" w:cs="Wingdings"/>
      <w:b/>
      <w:sz w:val="22"/>
    </w:rPr>
  </w:style>
  <w:style w:type="character" w:styleId="ListLabel420">
    <w:name w:val="ListLabel 420"/>
    <w:qFormat/>
    <w:rPr>
      <w:rFonts w:cs="Wingdings"/>
    </w:rPr>
  </w:style>
  <w:style w:type="character" w:styleId="ListLabel421">
    <w:name w:val="ListLabel 421"/>
    <w:qFormat/>
    <w:rPr>
      <w:rFonts w:cs="Wingdings"/>
    </w:rPr>
  </w:style>
  <w:style w:type="character" w:styleId="ListLabel422">
    <w:name w:val="ListLabel 422"/>
    <w:qFormat/>
    <w:rPr>
      <w:rFonts w:cs="Wingdings"/>
    </w:rPr>
  </w:style>
  <w:style w:type="character" w:styleId="ListLabel423">
    <w:name w:val="ListLabel 423"/>
    <w:qFormat/>
    <w:rPr>
      <w:rFonts w:cs="Wingdings"/>
    </w:rPr>
  </w:style>
  <w:style w:type="character" w:styleId="ListLabel424">
    <w:name w:val="ListLabel 424"/>
    <w:qFormat/>
    <w:rPr>
      <w:rFonts w:cs="Wingdings"/>
    </w:rPr>
  </w:style>
  <w:style w:type="character" w:styleId="ListLabel425">
    <w:name w:val="ListLabel 425"/>
    <w:qFormat/>
    <w:rPr>
      <w:rFonts w:cs="Wingdings"/>
    </w:rPr>
  </w:style>
  <w:style w:type="character" w:styleId="ListLabel426">
    <w:name w:val="ListLabel 426"/>
    <w:qFormat/>
    <w:rPr>
      <w:rFonts w:cs="Wingdings"/>
    </w:rPr>
  </w:style>
  <w:style w:type="character" w:styleId="ListLabel427">
    <w:name w:val="ListLabel 427"/>
    <w:qFormat/>
    <w:rPr>
      <w:rFonts w:cs="Wingdings"/>
    </w:rPr>
  </w:style>
  <w:style w:type="character" w:styleId="ListLabel428">
    <w:name w:val="ListLabel 428"/>
    <w:qFormat/>
    <w:rPr>
      <w:rFonts w:ascii="Arial" w:hAnsi="Arial"/>
      <w:b/>
      <w:sz w:val="20"/>
    </w:rPr>
  </w:style>
  <w:style w:type="character" w:styleId="ListLabel429">
    <w:name w:val="ListLabel 429"/>
    <w:qFormat/>
    <w:rPr>
      <w:b w:val="false"/>
      <w:color w:val="00000A"/>
      <w:sz w:val="20"/>
      <w:szCs w:val="20"/>
    </w:rPr>
  </w:style>
  <w:style w:type="character" w:styleId="ListLabel430">
    <w:name w:val="ListLabel 430"/>
    <w:qFormat/>
    <w:rPr>
      <w:sz w:val="20"/>
      <w:szCs w:val="20"/>
    </w:rPr>
  </w:style>
  <w:style w:type="character" w:styleId="ListLabel431">
    <w:name w:val="ListLabel 431"/>
    <w:qFormat/>
    <w:rPr>
      <w:rFonts w:ascii="Times New Roman" w:hAnsi="Times New Roman"/>
      <w:b/>
      <w:sz w:val="22"/>
    </w:rPr>
  </w:style>
  <w:style w:type="character" w:styleId="ListLabel432">
    <w:name w:val="ListLabel 432"/>
    <w:qFormat/>
    <w:rPr>
      <w:rFonts w:ascii="Times New Roman" w:hAnsi="Times New Roman"/>
      <w:b/>
      <w:bCs/>
      <w:color w:val="00000A"/>
      <w:sz w:val="22"/>
      <w:szCs w:val="20"/>
    </w:rPr>
  </w:style>
  <w:style w:type="character" w:styleId="ListLabel433">
    <w:name w:val="ListLabel 433"/>
    <w:qFormat/>
    <w:rPr>
      <w:rFonts w:ascii="Times New Roman" w:hAnsi="Times New Roman"/>
      <w:b/>
      <w:bCs/>
      <w:color w:val="00000A"/>
      <w:sz w:val="22"/>
      <w:szCs w:val="20"/>
    </w:rPr>
  </w:style>
  <w:style w:type="character" w:styleId="ListLabel434">
    <w:name w:val="ListLabel 434"/>
    <w:qFormat/>
    <w:rPr>
      <w:rFonts w:ascii="Times New Roman" w:hAnsi="Times New Roman" w:cs="Wingdings"/>
      <w:b/>
      <w:sz w:val="22"/>
    </w:rPr>
  </w:style>
  <w:style w:type="character" w:styleId="ListLabel435">
    <w:name w:val="ListLabel 435"/>
    <w:qFormat/>
    <w:rPr>
      <w:rFonts w:cs="Wingdings"/>
    </w:rPr>
  </w:style>
  <w:style w:type="character" w:styleId="ListLabel436">
    <w:name w:val="ListLabel 436"/>
    <w:qFormat/>
    <w:rPr>
      <w:rFonts w:cs="Wingdings"/>
    </w:rPr>
  </w:style>
  <w:style w:type="character" w:styleId="ListLabel437">
    <w:name w:val="ListLabel 437"/>
    <w:qFormat/>
    <w:rPr>
      <w:rFonts w:cs="Wingdings"/>
    </w:rPr>
  </w:style>
  <w:style w:type="character" w:styleId="ListLabel438">
    <w:name w:val="ListLabel 438"/>
    <w:qFormat/>
    <w:rPr>
      <w:rFonts w:cs="Wingdings"/>
    </w:rPr>
  </w:style>
  <w:style w:type="character" w:styleId="ListLabel439">
    <w:name w:val="ListLabel 439"/>
    <w:qFormat/>
    <w:rPr>
      <w:rFonts w:cs="Wingdings"/>
    </w:rPr>
  </w:style>
  <w:style w:type="character" w:styleId="ListLabel440">
    <w:name w:val="ListLabel 440"/>
    <w:qFormat/>
    <w:rPr>
      <w:rFonts w:cs="Wingdings"/>
    </w:rPr>
  </w:style>
  <w:style w:type="character" w:styleId="ListLabel441">
    <w:name w:val="ListLabel 441"/>
    <w:qFormat/>
    <w:rPr>
      <w:rFonts w:cs="Wingdings"/>
    </w:rPr>
  </w:style>
  <w:style w:type="character" w:styleId="ListLabel442">
    <w:name w:val="ListLabel 442"/>
    <w:qFormat/>
    <w:rPr>
      <w:rFonts w:cs="Wingdings"/>
    </w:rPr>
  </w:style>
  <w:style w:type="character" w:styleId="ListLabel443">
    <w:name w:val="ListLabel 443"/>
    <w:qFormat/>
    <w:rPr>
      <w:rFonts w:ascii="Arial" w:hAnsi="Arial"/>
      <w:b/>
      <w:sz w:val="20"/>
    </w:rPr>
  </w:style>
  <w:style w:type="character" w:styleId="ListLabel444">
    <w:name w:val="ListLabel 444"/>
    <w:qFormat/>
    <w:rPr>
      <w:b w:val="false"/>
      <w:color w:val="00000A"/>
      <w:sz w:val="20"/>
      <w:szCs w:val="20"/>
    </w:rPr>
  </w:style>
  <w:style w:type="character" w:styleId="ListLabel445">
    <w:name w:val="ListLabel 445"/>
    <w:qFormat/>
    <w:rPr>
      <w:sz w:val="20"/>
      <w:szCs w:val="20"/>
    </w:rPr>
  </w:style>
  <w:style w:type="paragraph" w:styleId="Ttulo">
    <w:name w:val="Título"/>
    <w:basedOn w:val="Normal"/>
    <w:next w:val="Corpodetexto"/>
    <w:qFormat/>
    <w:pPr>
      <w:keepNext/>
      <w:widowControl w:val="false"/>
      <w:bidi w:val="0"/>
      <w:spacing w:lineRule="auto" w:line="240" w:before="240" w:after="120"/>
      <w:jc w:val="left"/>
    </w:pPr>
    <w:rPr>
      <w:rFonts w:ascii="Liberation Sans" w:hAnsi="Liberation Sans" w:eastAsia="Microsoft YaHei" w:cs="Liberation Sans"/>
      <w:color w:val="00000A"/>
      <w:sz w:val="28"/>
      <w:szCs w:val="28"/>
      <w:lang w:val="pt-BR" w:eastAsia="pt-BR" w:bidi="hi-IN"/>
    </w:rPr>
  </w:style>
  <w:style w:type="paragraph" w:styleId="Corpodetexto">
    <w:name w:val="Body Text"/>
    <w:basedOn w:val="Normal"/>
    <w:pPr>
      <w:widowControl w:val="false"/>
      <w:bidi w:val="0"/>
      <w:spacing w:before="0" w:after="120"/>
      <w:jc w:val="left"/>
    </w:pPr>
    <w:rPr>
      <w:rFonts w:ascii="Calibri" w:hAnsi="Calibri" w:eastAsia="Segoe UI" w:cs="Tahoma"/>
      <w:color w:val="00000A"/>
      <w:sz w:val="22"/>
      <w:szCs w:val="22"/>
      <w:lang w:val="pt-BR" w:eastAsia="pt-BR" w:bidi="ar-SA"/>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widowControl w:val="false"/>
      <w:suppressLineNumbers/>
      <w:bidi w:val="0"/>
      <w:spacing w:lineRule="auto" w:line="240" w:before="0" w:after="0"/>
      <w:jc w:val="left"/>
    </w:pPr>
    <w:rPr>
      <w:rFonts w:ascii="Times New Roman" w:hAnsi="Times New Roman" w:eastAsia="SimSun" w:cs="Mangal"/>
      <w:color w:val="00000A"/>
      <w:sz w:val="24"/>
      <w:szCs w:val="24"/>
      <w:lang w:val="pt-BR" w:eastAsia="pt-BR" w:bidi="hi-IN"/>
    </w:rPr>
  </w:style>
  <w:style w:type="paragraph" w:styleId="Padro">
    <w:name w:val="Padrão"/>
    <w:qFormat/>
    <w:pPr>
      <w:widowControl/>
      <w:tabs>
        <w:tab w:val="left" w:pos="567" w:leader="none"/>
      </w:tabs>
      <w:suppressAutoHyphens w:val="true"/>
      <w:overflowPunct w:val="true"/>
      <w:bidi w:val="0"/>
      <w:jc w:val="left"/>
    </w:pPr>
    <w:rPr>
      <w:rFonts w:ascii="Ecofont_Spranq_eco_Sans" w:hAnsi="Ecofont_Spranq_eco_Sans" w:eastAsia="Times New Roman" w:cs="Tahoma"/>
      <w:color w:val="00000A"/>
      <w:sz w:val="24"/>
      <w:szCs w:val="24"/>
      <w:lang w:val="pt-BR" w:eastAsia="pt-BR" w:bidi="ar-SA"/>
    </w:rPr>
  </w:style>
  <w:style w:type="paragraph" w:styleId="Ttulododocumento">
    <w:name w:val="Title"/>
    <w:basedOn w:val="Padro"/>
    <w:qFormat/>
    <w:pPr>
      <w:keepNext/>
      <w:spacing w:before="240" w:after="120"/>
    </w:pPr>
    <w:rPr>
      <w:rFonts w:ascii="Arial" w:hAnsi="Arial" w:eastAsia="Microsoft YaHei" w:cs="Mangal"/>
      <w:sz w:val="28"/>
      <w:szCs w:val="28"/>
    </w:rPr>
  </w:style>
  <w:style w:type="paragraph" w:styleId="Caption">
    <w:name w:val="caption"/>
    <w:basedOn w:val="Padro"/>
    <w:qFormat/>
    <w:pPr>
      <w:suppressLineNumbers/>
      <w:spacing w:before="120" w:after="120"/>
    </w:pPr>
    <w:rPr>
      <w:rFonts w:cs="Mangal"/>
      <w:i/>
      <w:iCs/>
    </w:rPr>
  </w:style>
  <w:style w:type="paragraph" w:styleId="ListParagraph">
    <w:name w:val="List Paragraph"/>
    <w:basedOn w:val="Padro"/>
    <w:qFormat/>
    <w:pPr>
      <w:ind w:left="720" w:right="0" w:hanging="0"/>
    </w:pPr>
    <w:rPr/>
  </w:style>
  <w:style w:type="paragraph" w:styleId="NormalWeb">
    <w:name w:val="Normal (Web)"/>
    <w:basedOn w:val="Padro"/>
    <w:qFormat/>
    <w:pPr>
      <w:spacing w:before="28" w:after="28"/>
    </w:pPr>
    <w:rPr>
      <w:rFonts w:ascii="Times New Roman" w:hAnsi="Times New Roman" w:cs="Times New Roman"/>
    </w:rPr>
  </w:style>
  <w:style w:type="paragraph" w:styleId="BalloonText">
    <w:name w:val="Balloon Text"/>
    <w:basedOn w:val="Padro"/>
    <w:qFormat/>
    <w:pPr/>
    <w:rPr>
      <w:rFonts w:ascii="Tahoma" w:hAnsi="Tahoma"/>
      <w:sz w:val="16"/>
      <w:szCs w:val="16"/>
    </w:rPr>
  </w:style>
  <w:style w:type="paragraph" w:styleId="Nvel2">
    <w:name w:val="Nível 2"/>
    <w:basedOn w:val="Padro"/>
    <w:qFormat/>
    <w:pPr>
      <w:spacing w:before="0" w:after="120"/>
      <w:jc w:val="both"/>
    </w:pPr>
    <w:rPr>
      <w:rFonts w:ascii="Arial" w:hAnsi="Arial" w:cs="Times New Roman"/>
      <w:b/>
      <w:szCs w:val="20"/>
    </w:rPr>
  </w:style>
  <w:style w:type="paragraph" w:styleId="Quote">
    <w:name w:val="Quote"/>
    <w:basedOn w:val="Padro"/>
    <w:qFormat/>
    <w:pPr>
      <w:pBdr>
        <w:top w:val="single" w:sz="4" w:space="0" w:color="1F497D"/>
        <w:left w:val="single" w:sz="4" w:space="0" w:color="1F497D"/>
        <w:bottom w:val="single" w:sz="4" w:space="0" w:color="1F497D"/>
        <w:right w:val="single" w:sz="4" w:space="0" w:color="1F497D"/>
      </w:pBdr>
      <w:shd w:val="clear" w:fill="FFFFCC"/>
      <w:spacing w:before="120" w:after="0"/>
      <w:jc w:val="both"/>
    </w:pPr>
    <w:rPr>
      <w:rFonts w:ascii="Arial" w:hAnsi="Arial" w:eastAsia="Calibri"/>
      <w:i/>
      <w:iCs/>
      <w:color w:val="000000"/>
      <w:sz w:val="20"/>
      <w:lang w:eastAsia="en-US"/>
    </w:rPr>
  </w:style>
  <w:style w:type="paragraph" w:styleId="ListBullet5">
    <w:name w:val="List Bullet 5"/>
    <w:basedOn w:val="Padro"/>
    <w:qFormat/>
    <w:pPr/>
    <w:rPr/>
  </w:style>
  <w:style w:type="paragraph" w:styleId="Citao2">
    <w:name w:val="citação 2"/>
    <w:basedOn w:val="Quote"/>
    <w:qFormat/>
    <w:pPr>
      <w:shd w:val="clear" w:fill="FFFFCC"/>
    </w:pPr>
    <w:rPr>
      <w:szCs w:val="20"/>
    </w:rPr>
  </w:style>
  <w:style w:type="paragraph" w:styleId="Cabealho">
    <w:name w:val="Header"/>
    <w:basedOn w:val="Padro"/>
    <w:pPr>
      <w:suppressLineNumbers/>
      <w:tabs>
        <w:tab w:val="center" w:pos="4252" w:leader="none"/>
        <w:tab w:val="right" w:pos="8504" w:leader="none"/>
      </w:tabs>
    </w:pPr>
    <w:rPr/>
  </w:style>
  <w:style w:type="paragraph" w:styleId="Rodap">
    <w:name w:val="Footer"/>
    <w:basedOn w:val="Padro"/>
    <w:pPr>
      <w:suppressLineNumbers/>
      <w:tabs>
        <w:tab w:val="center" w:pos="4252" w:leader="none"/>
        <w:tab w:val="right" w:pos="8504" w:leader="none"/>
      </w:tabs>
    </w:pPr>
    <w:rPr/>
  </w:style>
  <w:style w:type="paragraph" w:styleId="Nivel1">
    <w:name w:val="Nivel1"/>
    <w:basedOn w:val="Ttulo1"/>
    <w:qFormat/>
    <w:pPr>
      <w:spacing w:before="480" w:after="120"/>
      <w:ind w:left="357" w:right="0" w:hanging="357"/>
      <w:jc w:val="both"/>
    </w:pPr>
    <w:rPr>
      <w:rFonts w:ascii="Arial" w:hAnsi="Arial" w:cs="Arial"/>
      <w:color w:val="000000"/>
      <w:sz w:val="20"/>
      <w:szCs w:val="20"/>
    </w:rPr>
  </w:style>
  <w:style w:type="paragraph" w:styleId="Nivel01">
    <w:name w:val="Nivel 01"/>
    <w:basedOn w:val="Ttulo1"/>
    <w:qFormat/>
    <w:pPr>
      <w:ind w:left="0" w:right="0" w:hanging="0"/>
      <w:jc w:val="both"/>
    </w:pPr>
    <w:rPr>
      <w:rFonts w:ascii="Ecofont_Spranq_eco_Sans" w:hAnsi="Ecofont_Spranq_eco_Sans" w:cs="Times New Roman"/>
      <w:color w:val="000000"/>
      <w:sz w:val="20"/>
      <w:szCs w:val="20"/>
    </w:rPr>
  </w:style>
  <w:style w:type="paragraph" w:styleId="Annotationtext">
    <w:name w:val="annotation text"/>
    <w:basedOn w:val="Padro"/>
    <w:qFormat/>
    <w:pPr/>
    <w:rPr>
      <w:sz w:val="20"/>
      <w:szCs w:val="20"/>
    </w:rPr>
  </w:style>
  <w:style w:type="paragraph" w:styleId="Standard">
    <w:name w:val="Standard"/>
    <w:qFormat/>
    <w:pPr>
      <w:widowControl/>
      <w:suppressAutoHyphens w:val="true"/>
      <w:overflowPunct w:val="true"/>
      <w:bidi w:val="0"/>
      <w:jc w:val="left"/>
      <w:textAlignment w:val="baseline"/>
    </w:pPr>
    <w:rPr>
      <w:rFonts w:ascii="Calibri" w:hAnsi="Calibri" w:eastAsia="Calibri" w:cs="Calibri"/>
      <w:color w:val="00000A"/>
      <w:sz w:val="22"/>
      <w:szCs w:val="22"/>
      <w:lang w:val="pt-BR" w:eastAsia="zh-CN" w:bidi="ar-SA"/>
    </w:rPr>
  </w:style>
  <w:style w:type="paragraph" w:styleId="Textbody">
    <w:name w:val="Text body"/>
    <w:basedOn w:val="Standard"/>
    <w:qFormat/>
    <w:pPr>
      <w:spacing w:before="0" w:after="120"/>
    </w:pPr>
    <w:rPr/>
  </w:style>
  <w:style w:type="paragraph" w:styleId="GradeColoridanfase11">
    <w:name w:val="Grade Colorida - Ênfase 11"/>
    <w:basedOn w:val="Standard"/>
    <w:next w:val="Standard"/>
    <w:qFormat/>
    <w:pPr>
      <w:pBdr>
        <w:top w:val="single" w:sz="4" w:space="1" w:color="000080"/>
        <w:left w:val="single" w:sz="4" w:space="4" w:color="000080"/>
        <w:bottom w:val="single" w:sz="4" w:space="1" w:color="000080"/>
        <w:right w:val="single" w:sz="4" w:space="4" w:color="000080"/>
      </w:pBdr>
      <w:suppressAutoHyphens w:val="false"/>
      <w:spacing w:lineRule="auto" w:line="240" w:before="120" w:after="0"/>
      <w:jc w:val="both"/>
    </w:pPr>
    <w:rPr>
      <w:rFonts w:ascii="Arial" w:hAnsi="Arial" w:cs="Times New Roman"/>
      <w:i/>
      <w:iCs/>
      <w:color w:val="000000"/>
      <w:sz w:val="20"/>
      <w:szCs w:val="24"/>
    </w:rPr>
  </w:style>
  <w:style w:type="paragraph" w:styleId="P30">
    <w:name w:val="P30"/>
    <w:basedOn w:val="Padro"/>
    <w:qFormat/>
    <w:pPr>
      <w:tabs>
        <w:tab w:val="left" w:pos="708" w:leader="none"/>
      </w:tabs>
      <w:jc w:val="both"/>
    </w:pPr>
    <w:rPr>
      <w:b/>
      <w:sz w:val="22"/>
      <w:szCs w:val="20"/>
    </w:rPr>
  </w:style>
  <w:style w:type="paragraph" w:styleId="Xl33">
    <w:name w:val="xl33"/>
    <w:basedOn w:val="Padro"/>
    <w:qFormat/>
    <w:pPr>
      <w:tabs>
        <w:tab w:val="left" w:pos="708" w:leader="none"/>
      </w:tabs>
      <w:spacing w:before="280" w:after="280"/>
      <w:jc w:val="center"/>
    </w:pPr>
    <w:rPr>
      <w:rFonts w:ascii="Arial" w:hAnsi="Arial" w:eastAsia="Arial Unicode MS" w:cs="Arial"/>
      <w:b/>
      <w:bCs/>
      <w:sz w:val="28"/>
      <w:szCs w:val="28"/>
    </w:rPr>
  </w:style>
  <w:style w:type="paragraph" w:styleId="Ttulo31">
    <w:name w:val="Título3"/>
    <w:basedOn w:val="Normal"/>
    <w:qFormat/>
    <w:pPr>
      <w:keepNext/>
      <w:widowControl w:val="false"/>
      <w:suppressAutoHyphens w:val="true"/>
      <w:spacing w:lineRule="auto" w:line="240" w:before="240" w:after="120"/>
    </w:pPr>
    <w:rPr>
      <w:rFonts w:ascii="Arial" w:hAnsi="Arial" w:eastAsia="Microsoft YaHei" w:cs="Mangal"/>
      <w:sz w:val="28"/>
      <w:szCs w:val="28"/>
      <w:lang w:eastAsia="zh-CN" w:bidi="hi-IN"/>
    </w:rPr>
  </w:style>
  <w:style w:type="paragraph" w:styleId="Ttulo21">
    <w:name w:val="Título2"/>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Ttulo11">
    <w:name w:val="Título1"/>
    <w:basedOn w:val="Normal"/>
    <w:qFormat/>
    <w:pPr>
      <w:keepNext/>
      <w:widowControl w:val="false"/>
      <w:suppressAutoHyphens w:val="true"/>
      <w:spacing w:lineRule="auto" w:line="240" w:before="240" w:after="120"/>
    </w:pPr>
    <w:rPr>
      <w:rFonts w:ascii="Arial" w:hAnsi="Arial" w:eastAsia="SimSun" w:cs="Mangal"/>
      <w:sz w:val="28"/>
      <w:szCs w:val="28"/>
      <w:lang w:eastAsia="zh-CN" w:bidi="hi-IN"/>
    </w:rPr>
  </w:style>
  <w:style w:type="paragraph" w:styleId="WWTtulo">
    <w:name w:val="WW-Título"/>
    <w:basedOn w:val="Ttulo11"/>
    <w:qFormat/>
    <w:pPr/>
    <w:rPr/>
  </w:style>
  <w:style w:type="paragraph" w:styleId="Subttulo">
    <w:name w:val="Subtitle"/>
    <w:basedOn w:val="Ttulo11"/>
    <w:qFormat/>
    <w:pPr>
      <w:jc w:val="center"/>
    </w:pPr>
    <w:rPr>
      <w:i/>
      <w:iCs/>
    </w:rPr>
  </w:style>
  <w:style w:type="paragraph" w:styleId="Legenda1">
    <w:name w:val="Legenda1"/>
    <w:basedOn w:val="Normal"/>
    <w:qFormat/>
    <w:pPr>
      <w:widowControl w:val="false"/>
      <w:suppressLineNumbers/>
      <w:suppressAutoHyphens w:val="true"/>
      <w:spacing w:lineRule="auto" w:line="240" w:before="120" w:after="120"/>
    </w:pPr>
    <w:rPr>
      <w:rFonts w:ascii="Times New Roman" w:hAnsi="Times New Roman" w:eastAsia="SimSun" w:cs="Mangal"/>
      <w:i/>
      <w:iCs/>
      <w:sz w:val="24"/>
      <w:szCs w:val="24"/>
      <w:lang w:eastAsia="zh-CN" w:bidi="hi-IN"/>
    </w:rPr>
  </w:style>
  <w:style w:type="paragraph" w:styleId="Contedodetabela">
    <w:name w:val="Conteúdo de tabela"/>
    <w:basedOn w:val="Normal"/>
    <w:qFormat/>
    <w:pPr>
      <w:widowControl w:val="false"/>
      <w:suppressLineNumbers/>
      <w:suppressAutoHyphens w:val="true"/>
      <w:spacing w:lineRule="auto" w:line="240" w:before="0" w:after="0"/>
    </w:pPr>
    <w:rPr>
      <w:rFonts w:ascii="Times New Roman" w:hAnsi="Times New Roman" w:eastAsia="SimSun" w:cs="Mangal"/>
      <w:sz w:val="24"/>
      <w:szCs w:val="24"/>
      <w:lang w:eastAsia="zh-CN" w:bidi="hi-IN"/>
    </w:rPr>
  </w:style>
  <w:style w:type="paragraph" w:styleId="Contedodatabela">
    <w:name w:val="Conteúdo da tabela"/>
    <w:basedOn w:val="Standard"/>
    <w:qFormat/>
    <w:pPr>
      <w:widowControl w:val="false"/>
      <w:suppressLineNumbers/>
      <w:spacing w:lineRule="auto" w:line="240" w:before="0" w:after="0"/>
    </w:pPr>
    <w:rPr>
      <w:rFonts w:ascii="Times New Roman" w:hAnsi="Times New Roman" w:eastAsia="SimSun" w:cs="Mangal"/>
      <w:sz w:val="24"/>
      <w:szCs w:val="24"/>
      <w:lang w:bidi="hi-IN"/>
    </w:rPr>
  </w:style>
  <w:style w:type="paragraph" w:styleId="Ttulodetabela">
    <w:name w:val="Título de tabela"/>
    <w:basedOn w:val="Contedodetabela"/>
    <w:qFormat/>
    <w:pPr>
      <w:jc w:val="center"/>
      <w:textAlignment w:val="baseline"/>
    </w:pPr>
    <w:rPr>
      <w:b/>
      <w:bCs/>
    </w:rPr>
  </w:style>
  <w:style w:type="paragraph" w:styleId="PargrafodaLista1">
    <w:name w:val="Parágrafo da Lista1"/>
    <w:basedOn w:val="Normal"/>
    <w:qFormat/>
    <w:pPr>
      <w:widowControl w:val="false"/>
      <w:suppressAutoHyphens w:val="true"/>
      <w:spacing w:lineRule="auto" w:line="240" w:before="0" w:after="0"/>
    </w:pPr>
    <w:rPr>
      <w:rFonts w:ascii="Times New Roman" w:hAnsi="Times New Roman" w:eastAsia="SimSun" w:cs="Times New Roman"/>
      <w:sz w:val="24"/>
      <w:szCs w:val="24"/>
      <w:lang w:eastAsia="zh-CN" w:bidi="hi-IN"/>
    </w:rPr>
  </w:style>
  <w:style w:type="paragraph" w:styleId="WWCorpodetexto31">
    <w:name w:val="WW-Corpo de texto 31"/>
    <w:basedOn w:val="Normal"/>
    <w:qFormat/>
    <w:pPr>
      <w:widowControl w:val="false"/>
      <w:suppressAutoHyphens w:val="true"/>
      <w:spacing w:lineRule="auto" w:line="240" w:before="0" w:after="0"/>
    </w:pPr>
    <w:rPr>
      <w:rFonts w:ascii="Times New Roman" w:hAnsi="Times New Roman" w:eastAsia="SimSun" w:cs="Times New Roman"/>
      <w:color w:val="000000"/>
      <w:sz w:val="24"/>
      <w:szCs w:val="20"/>
      <w:lang w:eastAsia="zh-CN" w:bidi="hi-IN"/>
    </w:rPr>
  </w:style>
  <w:style w:type="paragraph" w:styleId="NoSpacing">
    <w:name w:val="No Spacing"/>
    <w:qFormat/>
    <w:pPr>
      <w:widowControl w:val="false"/>
      <w:suppressAutoHyphens w:val="true"/>
      <w:overflowPunct w:val="true"/>
      <w:bidi w:val="0"/>
      <w:spacing w:lineRule="auto" w:line="240" w:before="0" w:after="0"/>
      <w:jc w:val="left"/>
    </w:pPr>
    <w:rPr>
      <w:rFonts w:ascii="Times New Roman" w:hAnsi="Times New Roman" w:eastAsia="SimSun" w:cs="Mangal"/>
      <w:color w:val="00000A"/>
      <w:sz w:val="24"/>
      <w:szCs w:val="21"/>
      <w:lang w:val="pt-BR" w:eastAsia="zh-CN" w:bidi="hi-IN"/>
    </w:rPr>
  </w:style>
  <w:style w:type="paragraph" w:styleId="A010169">
    <w:name w:val="_A010169"/>
    <w:qFormat/>
    <w:pPr>
      <w:widowControl w:val="false"/>
      <w:suppressAutoHyphens w:val="true"/>
      <w:overflowPunct w:val="true"/>
      <w:bidi w:val="0"/>
      <w:spacing w:lineRule="auto" w:line="240" w:before="0" w:after="0"/>
      <w:jc w:val="both"/>
    </w:pPr>
    <w:rPr>
      <w:rFonts w:ascii="Times New Roman" w:hAnsi="Times New Roman" w:eastAsia="Arial" w:cs="Times New Roman"/>
      <w:color w:val="000000"/>
      <w:sz w:val="24"/>
      <w:szCs w:val="20"/>
      <w:lang w:val="pt-BR" w:eastAsia="zh-CN" w:bidi="ar-SA"/>
    </w:rPr>
  </w:style>
  <w:style w:type="paragraph" w:styleId="WWPadro">
    <w:name w:val="WW-Padrão"/>
    <w:qFormat/>
    <w:pPr>
      <w:widowControl/>
      <w:tabs>
        <w:tab w:val="left" w:pos="708" w:leader="none"/>
      </w:tabs>
      <w:suppressAutoHyphens w:val="true"/>
      <w:overflowPunct w:val="true"/>
      <w:bidi w:val="0"/>
      <w:spacing w:lineRule="auto" w:line="240" w:before="0" w:after="0"/>
      <w:jc w:val="left"/>
    </w:pPr>
    <w:rPr>
      <w:rFonts w:ascii="Ecofont_Spranq_eco_Sans" w:hAnsi="Ecofont_Spranq_eco_Sans" w:eastAsia="Times New Roman" w:cs="Tahoma"/>
      <w:color w:val="00000A"/>
      <w:sz w:val="24"/>
      <w:szCs w:val="24"/>
      <w:lang w:val="pt-BR" w:eastAsia="zh-CN" w:bidi="hi-IN"/>
    </w:rPr>
  </w:style>
  <w:style w:type="paragraph" w:styleId="Citao1">
    <w:name w:val="Citação1"/>
    <w:basedOn w:val="Normal"/>
    <w:next w:val="Normal"/>
    <w:qFormat/>
    <w:pPr>
      <w:widowControl w:val="false"/>
      <w:pBdr>
        <w:top w:val="single" w:sz="4" w:space="1" w:color="008080"/>
        <w:left w:val="single" w:sz="4" w:space="4" w:color="008080"/>
        <w:bottom w:val="single" w:sz="4" w:space="1" w:color="008080"/>
        <w:right w:val="single" w:sz="4" w:space="4" w:color="008080"/>
      </w:pBdr>
      <w:shd w:val="clear" w:fill="FFFFCC"/>
      <w:suppressAutoHyphens w:val="true"/>
      <w:spacing w:lineRule="auto" w:line="240" w:before="120" w:after="0"/>
      <w:jc w:val="both"/>
    </w:pPr>
    <w:rPr>
      <w:rFonts w:ascii="Times New Roman" w:hAnsi="Times New Roman" w:eastAsia="Calibri" w:cs="Mangal"/>
      <w:i/>
      <w:iCs/>
      <w:color w:val="000000"/>
      <w:sz w:val="20"/>
      <w:szCs w:val="24"/>
      <w:lang w:eastAsia="zh-CN" w:bidi="hi-IN"/>
    </w:rPr>
  </w:style>
  <w:style w:type="paragraph" w:styleId="Normal1">
    <w:name w:val="Normal1"/>
    <w:qFormat/>
    <w:pPr>
      <w:widowControl w:val="false"/>
      <w:suppressAutoHyphens w:val="true"/>
      <w:overflowPunct w:val="true"/>
      <w:bidi w:val="0"/>
      <w:jc w:val="left"/>
      <w:textAlignment w:val="baseline"/>
    </w:pPr>
    <w:rPr>
      <w:rFonts w:ascii="Calibri" w:hAnsi="Calibri" w:eastAsia="DejaVu Sans" w:cs="DejaVu Sans"/>
      <w:color w:val="00000A"/>
      <w:sz w:val="22"/>
      <w:szCs w:val="22"/>
      <w:lang w:val="pt-BR" w:eastAsia="zh-CN" w:bidi="hi-IN"/>
    </w:rPr>
  </w:style>
  <w:style w:type="paragraph" w:styleId="Xl67">
    <w:name w:val="xl67"/>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68">
    <w:name w:val="xl68"/>
    <w:basedOn w:val="Normal"/>
    <w:qFormat/>
    <w:pPr>
      <w:spacing w:lineRule="auto" w:line="240" w:before="280" w:after="280"/>
      <w:textAlignment w:val="center"/>
    </w:pPr>
    <w:rPr>
      <w:rFonts w:ascii="Arial Narrow" w:hAnsi="Arial Narrow" w:eastAsia="Times New Roman" w:cs="Times New Roman"/>
      <w:sz w:val="20"/>
      <w:szCs w:val="20"/>
      <w:lang w:eastAsia="zh-CN"/>
    </w:rPr>
  </w:style>
  <w:style w:type="paragraph" w:styleId="Xl69">
    <w:name w:val="xl69"/>
    <w:basedOn w:val="Normal"/>
    <w:qFormat/>
    <w:pPr>
      <w:spacing w:lineRule="auto" w:line="240" w:before="280" w:after="280"/>
      <w:jc w:val="center"/>
      <w:textAlignment w:val="center"/>
    </w:pPr>
    <w:rPr>
      <w:rFonts w:ascii="Arial Narrow" w:hAnsi="Arial Narrow" w:eastAsia="Times New Roman" w:cs="Times New Roman"/>
      <w:sz w:val="20"/>
      <w:szCs w:val="20"/>
      <w:lang w:eastAsia="zh-CN"/>
    </w:rPr>
  </w:style>
  <w:style w:type="paragraph" w:styleId="Xl70">
    <w:name w:val="xl70"/>
    <w:basedOn w:val="Normal"/>
    <w:qFormat/>
    <w:pPr>
      <w:spacing w:lineRule="auto" w:line="240" w:before="280" w:after="280"/>
    </w:pPr>
    <w:rPr>
      <w:rFonts w:ascii="Arial Narrow" w:hAnsi="Arial Narrow" w:eastAsia="Times New Roman" w:cs="Times New Roman"/>
      <w:sz w:val="20"/>
      <w:szCs w:val="20"/>
      <w:lang w:eastAsia="zh-CN"/>
    </w:rPr>
  </w:style>
  <w:style w:type="paragraph" w:styleId="Xl71">
    <w:name w:val="xl71"/>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2">
    <w:name w:val="xl72"/>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20"/>
      <w:szCs w:val="20"/>
      <w:lang w:eastAsia="zh-CN"/>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b/>
      <w:bCs/>
      <w:sz w:val="19"/>
      <w:szCs w:val="19"/>
      <w:lang w:eastAsia="zh-CN"/>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20"/>
      <w:szCs w:val="20"/>
      <w:lang w:eastAsia="zh-CN"/>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sz w:val="19"/>
      <w:szCs w:val="19"/>
      <w:lang w:eastAsia="zh-CN"/>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both"/>
    </w:pPr>
    <w:rPr>
      <w:rFonts w:ascii="Times New Roman" w:hAnsi="Times New Roman" w:eastAsia="Times New Roman" w:cs="Times New Roman"/>
      <w:color w:val="C0504D"/>
      <w:sz w:val="19"/>
      <w:szCs w:val="19"/>
      <w:lang w:eastAsia="zh-CN"/>
    </w:rPr>
  </w:style>
  <w:style w:type="paragraph" w:styleId="ListaColoridanfase11">
    <w:name w:val="Lista Colorida - Ênfase 11"/>
    <w:basedOn w:val="Normal"/>
    <w:qFormat/>
    <w:pPr>
      <w:spacing w:lineRule="auto" w:line="240" w:before="0" w:after="0"/>
      <w:ind w:left="720" w:right="0" w:hanging="0"/>
    </w:pPr>
    <w:rPr>
      <w:rFonts w:ascii="Arial" w:hAnsi="Arial" w:eastAsia="Times New Roman" w:cs="Tahoma"/>
      <w:sz w:val="24"/>
      <w:szCs w:val="24"/>
      <w:lang w:eastAsia="zh-CN"/>
    </w:rPr>
  </w:style>
  <w:style w:type="paragraph" w:styleId="Commarcadores51">
    <w:name w:val="Com marcadores 51"/>
    <w:basedOn w:val="Normal"/>
    <w:qFormat/>
    <w:pPr>
      <w:spacing w:lineRule="auto" w:line="240" w:before="0" w:after="0"/>
    </w:pPr>
    <w:rPr>
      <w:rFonts w:ascii="Arial" w:hAnsi="Arial" w:eastAsia="Times New Roman" w:cs="Tahoma"/>
      <w:sz w:val="24"/>
      <w:szCs w:val="24"/>
      <w:lang w:eastAsia="zh-CN"/>
    </w:rPr>
  </w:style>
  <w:style w:type="paragraph" w:styleId="Textodecomentrio1">
    <w:name w:val="Texto de comentário1"/>
    <w:basedOn w:val="Normal"/>
    <w:qFormat/>
    <w:pPr>
      <w:spacing w:lineRule="auto" w:line="240" w:before="0" w:after="0"/>
    </w:pPr>
    <w:rPr>
      <w:rFonts w:ascii="Arial" w:hAnsi="Arial" w:eastAsia="Times New Roman" w:cs="Tahoma"/>
      <w:sz w:val="24"/>
      <w:szCs w:val="24"/>
      <w:lang w:eastAsia="zh-CN"/>
    </w:rPr>
  </w:style>
  <w:style w:type="paragraph" w:styleId="Font5">
    <w:name w:val="font5"/>
    <w:basedOn w:val="Normal"/>
    <w:qFormat/>
    <w:pPr>
      <w:spacing w:lineRule="auto" w:line="240" w:before="280" w:after="280"/>
    </w:pPr>
    <w:rPr>
      <w:rFonts w:ascii="Times New Roman" w:hAnsi="Times New Roman" w:eastAsia="Times New Roman" w:cs="Times New Roman"/>
      <w:sz w:val="20"/>
      <w:szCs w:val="20"/>
      <w:lang w:eastAsia="zh-CN"/>
    </w:rPr>
  </w:style>
  <w:style w:type="paragraph" w:styleId="Font6">
    <w:name w:val="font6"/>
    <w:basedOn w:val="Normal"/>
    <w:qFormat/>
    <w:pPr>
      <w:spacing w:lineRule="auto" w:line="240" w:before="280" w:after="280"/>
    </w:pPr>
    <w:rPr>
      <w:rFonts w:ascii="Calibri" w:hAnsi="Calibri" w:eastAsia="Times New Roman" w:cs="Times New Roman"/>
      <w:sz w:val="16"/>
      <w:szCs w:val="16"/>
      <w:lang w:eastAsia="zh-CN"/>
    </w:rPr>
  </w:style>
  <w:style w:type="paragraph" w:styleId="Font7">
    <w:name w:val="font7"/>
    <w:basedOn w:val="Normal"/>
    <w:qFormat/>
    <w:pPr>
      <w:spacing w:lineRule="auto" w:line="240" w:before="280" w:after="280"/>
    </w:pPr>
    <w:rPr>
      <w:rFonts w:ascii="Arial" w:hAnsi="Arial" w:eastAsia="Times New Roman" w:cs="Arial"/>
      <w:sz w:val="16"/>
      <w:szCs w:val="16"/>
      <w:lang w:eastAsia="zh-CN"/>
    </w:rPr>
  </w:style>
  <w:style w:type="paragraph" w:styleId="Xl63">
    <w:name w:val="xl63"/>
    <w:basedOn w:val="Normal"/>
    <w:qFormat/>
    <w:pPr>
      <w:spacing w:lineRule="auto" w:line="240" w:before="280" w:after="280"/>
      <w:jc w:val="both"/>
    </w:pPr>
    <w:rPr>
      <w:rFonts w:ascii="Times New Roman" w:hAnsi="Times New Roman" w:eastAsia="Times New Roman" w:cs="Times New Roman"/>
      <w:sz w:val="24"/>
      <w:szCs w:val="24"/>
      <w:lang w:eastAsia="zh-CN"/>
    </w:rPr>
  </w:style>
  <w:style w:type="paragraph" w:styleId="Xl64">
    <w:name w:val="xl64"/>
    <w:basedOn w:val="Normal"/>
    <w:qFormat/>
    <w:pPr>
      <w:spacing w:lineRule="auto" w:line="240" w:before="280" w:after="280"/>
      <w:jc w:val="center"/>
      <w:textAlignment w:val="center"/>
    </w:pPr>
    <w:rPr>
      <w:rFonts w:ascii="Times New Roman" w:hAnsi="Times New Roman" w:eastAsia="Times New Roman" w:cs="Times New Roman"/>
      <w:b/>
      <w:bCs/>
      <w:sz w:val="24"/>
      <w:szCs w:val="24"/>
      <w:lang w:eastAsia="zh-CN"/>
    </w:rPr>
  </w:style>
  <w:style w:type="paragraph" w:styleId="Xl65">
    <w:name w:val="xl65"/>
    <w:basedOn w:val="Normal"/>
    <w:qFormat/>
    <w:pPr>
      <w:spacing w:lineRule="auto" w:line="240" w:before="280" w:after="280"/>
      <w:jc w:val="center"/>
    </w:pPr>
    <w:rPr>
      <w:rFonts w:ascii="Times New Roman" w:hAnsi="Times New Roman" w:eastAsia="Times New Roman" w:cs="Times New Roman"/>
      <w:b/>
      <w:bCs/>
      <w:sz w:val="24"/>
      <w:szCs w:val="24"/>
      <w:lang w:eastAsia="zh-CN"/>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lineRule="auto" w:line="240" w:before="280" w:after="280"/>
      <w:jc w:val="center"/>
    </w:pPr>
    <w:rPr>
      <w:rFonts w:ascii="Times New Roman" w:hAnsi="Times New Roman" w:eastAsia="Times New Roman" w:cs="Times New Roman"/>
      <w:sz w:val="24"/>
      <w:szCs w:val="24"/>
      <w:lang w:eastAsia="zh-CN"/>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2">
    <w:name w:val="xl82"/>
    <w:basedOn w:val="Normal"/>
    <w:qFormat/>
    <w:pPr>
      <w:pBdr>
        <w:top w:val="single" w:sz="4" w:space="0" w:color="000001"/>
        <w:left w:val="single" w:sz="4" w:space="0" w:color="000001"/>
        <w:bottom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3">
    <w:name w:val="xl83"/>
    <w:basedOn w:val="Normal"/>
    <w:qFormat/>
    <w:pPr>
      <w:pBdr>
        <w:top w:val="single" w:sz="4" w:space="0" w:color="000001"/>
        <w:bottom w:val="single" w:sz="4" w:space="0" w:color="000001"/>
        <w:right w:val="single" w:sz="4" w:space="0" w:color="000001"/>
      </w:pBdr>
      <w:shd w:val="clear" w:fill="000000"/>
      <w:spacing w:lineRule="auto" w:line="240" w:before="280" w:after="280"/>
      <w:jc w:val="center"/>
    </w:pPr>
    <w:rPr>
      <w:rFonts w:ascii="Calibri" w:hAnsi="Calibri" w:eastAsia="Times New Roman" w:cs="Times New Roman"/>
      <w:b/>
      <w:bCs/>
      <w:color w:val="FFFFFF"/>
      <w:sz w:val="20"/>
      <w:szCs w:val="20"/>
      <w:lang w:eastAsia="zh-CN"/>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hd w:val="clear" w:fill="000000"/>
      <w:spacing w:lineRule="auto" w:line="240" w:before="280" w:after="280"/>
      <w:jc w:val="center"/>
      <w:textAlignment w:val="center"/>
    </w:pPr>
    <w:rPr>
      <w:rFonts w:ascii="Calibri" w:hAnsi="Calibri" w:eastAsia="Times New Roman" w:cs="Times New Roman"/>
      <w:b/>
      <w:bCs/>
      <w:color w:val="FFFFFF"/>
      <w:sz w:val="20"/>
      <w:szCs w:val="20"/>
      <w:lang w:eastAsia="zh-CN"/>
    </w:rPr>
  </w:style>
  <w:style w:type="paragraph" w:styleId="Xl86">
    <w:name w:val="xl86"/>
    <w:basedOn w:val="Normal"/>
    <w:qFormat/>
    <w:pPr>
      <w:pBdr>
        <w:top w:val="single" w:sz="4" w:space="0" w:color="000001"/>
        <w:left w:val="single" w:sz="4" w:space="0" w:color="000001"/>
        <w:bottom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7">
    <w:name w:val="xl87"/>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8">
    <w:name w:val="xl88"/>
    <w:basedOn w:val="Normal"/>
    <w:qFormat/>
    <w:pPr>
      <w:pBdr>
        <w:top w:val="single" w:sz="4" w:space="0" w:color="000001"/>
        <w:bottom w:val="single" w:sz="4" w:space="0" w:color="000001"/>
        <w:right w:val="single" w:sz="4" w:space="0" w:color="000001"/>
      </w:pBdr>
      <w:shd w:val="clear" w:fill="D9D9D9"/>
      <w:spacing w:lineRule="auto" w:line="240" w:before="280" w:after="280"/>
      <w:jc w:val="center"/>
    </w:pPr>
    <w:rPr>
      <w:rFonts w:ascii="Calibri" w:hAnsi="Calibri" w:eastAsia="Times New Roman" w:cs="Times New Roman"/>
      <w:b/>
      <w:bCs/>
      <w:sz w:val="20"/>
      <w:szCs w:val="20"/>
      <w:lang w:eastAsia="zh-CN"/>
    </w:rPr>
  </w:style>
  <w:style w:type="paragraph" w:styleId="Xl89">
    <w:name w:val="xl89"/>
    <w:basedOn w:val="Normal"/>
    <w:qFormat/>
    <w:pPr>
      <w:pBdr>
        <w:bottom w:val="single" w:sz="8" w:space="0" w:color="000001"/>
        <w:right w:val="single" w:sz="8" w:space="0" w:color="000001"/>
      </w:pBdr>
      <w:shd w:val="clear" w:fill="FFFFFF"/>
      <w:spacing w:lineRule="auto" w:line="240" w:before="280" w:after="280"/>
      <w:jc w:val="center"/>
      <w:textAlignment w:val="center"/>
    </w:pPr>
    <w:rPr>
      <w:rFonts w:ascii="Calibri" w:hAnsi="Calibri" w:eastAsia="Times New Roman" w:cs="Times New Roman"/>
      <w:sz w:val="20"/>
      <w:szCs w:val="20"/>
      <w:lang w:eastAsia="zh-CN"/>
    </w:rPr>
  </w:style>
  <w:style w:type="paragraph" w:styleId="LONormal">
    <w:name w:val="LO-Normal"/>
    <w:qFormat/>
    <w:pPr>
      <w:widowControl w:val="false"/>
      <w:suppressAutoHyphens w:val="true"/>
      <w:overflowPunct w:val="true"/>
      <w:bidi w:val="0"/>
      <w:spacing w:lineRule="auto" w:line="240" w:before="0" w:after="0"/>
      <w:jc w:val="left"/>
    </w:pPr>
    <w:rPr>
      <w:rFonts w:ascii="Liberation Serif" w:hAnsi="Liberation Serif" w:eastAsia="SimSun" w:cs="Mangal"/>
      <w:color w:val="00000A"/>
      <w:sz w:val="24"/>
      <w:szCs w:val="24"/>
      <w:lang w:val="pt-BR" w:eastAsia="zh-CN" w:bidi="hi-IN"/>
    </w:rPr>
  </w:style>
  <w:style w:type="paragraph" w:styleId="Font8">
    <w:name w:val="font8"/>
    <w:basedOn w:val="Normal"/>
    <w:qFormat/>
    <w:pPr>
      <w:spacing w:lineRule="auto" w:line="240" w:before="280" w:after="280"/>
    </w:pPr>
    <w:rPr>
      <w:rFonts w:ascii="Arial" w:hAnsi="Arial" w:eastAsia="Times New Roman" w:cs="Arial"/>
      <w:color w:val="00000A"/>
      <w:sz w:val="20"/>
      <w:szCs w:val="20"/>
    </w:rPr>
  </w:style>
  <w:style w:type="paragraph" w:styleId="Font9">
    <w:name w:val="font9"/>
    <w:basedOn w:val="Normal"/>
    <w:qFormat/>
    <w:pPr>
      <w:spacing w:lineRule="auto" w:line="240" w:before="280" w:after="280"/>
    </w:pPr>
    <w:rPr>
      <w:rFonts w:ascii="Arial" w:hAnsi="Arial" w:eastAsia="Times New Roman" w:cs="Arial"/>
      <w:color w:val="000000"/>
      <w:sz w:val="20"/>
      <w:szCs w:val="20"/>
    </w:rPr>
  </w:style>
  <w:style w:type="paragraph" w:styleId="Font10">
    <w:name w:val="font10"/>
    <w:basedOn w:val="Normal"/>
    <w:qFormat/>
    <w:pPr>
      <w:spacing w:lineRule="auto" w:line="240" w:before="280" w:after="280"/>
    </w:pPr>
    <w:rPr>
      <w:rFonts w:ascii="Arial" w:hAnsi="Arial" w:eastAsia="Times New Roman" w:cs="Arial"/>
      <w:b/>
      <w:bCs/>
      <w:color w:val="00000A"/>
      <w:sz w:val="20"/>
      <w:szCs w:val="20"/>
    </w:rPr>
  </w:style>
  <w:style w:type="paragraph" w:styleId="Font11">
    <w:name w:val="font11"/>
    <w:basedOn w:val="Normal"/>
    <w:qFormat/>
    <w:pPr>
      <w:spacing w:lineRule="auto" w:line="240" w:before="280" w:after="280"/>
    </w:pPr>
    <w:rPr>
      <w:rFonts w:ascii="Arial" w:hAnsi="Arial" w:eastAsia="Times New Roman" w:cs="Arial"/>
      <w:b/>
      <w:bCs/>
      <w:sz w:val="20"/>
      <w:szCs w:val="20"/>
    </w:rPr>
  </w:style>
  <w:style w:type="paragraph" w:styleId="Xl90">
    <w:name w:val="xl90"/>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91">
    <w:name w:val="xl9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2">
    <w:name w:val="xl9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0"/>
      <w:szCs w:val="20"/>
    </w:rPr>
  </w:style>
  <w:style w:type="paragraph" w:styleId="Xl93">
    <w:name w:val="xl93"/>
    <w:basedOn w:val="Normal"/>
    <w:qFormat/>
    <w:pPr>
      <w:spacing w:lineRule="auto" w:line="240" w:before="280" w:after="280"/>
      <w:jc w:val="center"/>
      <w:textAlignment w:val="center"/>
    </w:pPr>
    <w:rPr>
      <w:rFonts w:ascii="Arial" w:hAnsi="Arial" w:eastAsia="Times New Roman" w:cs="Arial"/>
      <w:sz w:val="24"/>
      <w:szCs w:val="24"/>
    </w:rPr>
  </w:style>
  <w:style w:type="paragraph" w:styleId="Xl94">
    <w:name w:val="xl9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5">
    <w:name w:val="xl95"/>
    <w:basedOn w:val="Normal"/>
    <w:qFormat/>
    <w:pPr>
      <w:pBdr>
        <w:top w:val="single" w:sz="4" w:space="0" w:color="00000A"/>
        <w:left w:val="single" w:sz="4" w:space="0" w:color="00000A"/>
        <w:bottom w:val="single" w:sz="4" w:space="0" w:color="00000A"/>
        <w:right w:val="single" w:sz="4" w:space="0" w:color="00000A"/>
      </w:pBdr>
      <w:shd w:val="clear" w:fill="CCCCCC"/>
      <w:spacing w:lineRule="auto" w:line="240" w:before="280" w:after="280"/>
      <w:jc w:val="center"/>
      <w:textAlignment w:val="center"/>
    </w:pPr>
    <w:rPr>
      <w:rFonts w:ascii="Arial" w:hAnsi="Arial" w:eastAsia="Times New Roman" w:cs="Arial"/>
      <w:b/>
      <w:bCs/>
      <w:sz w:val="24"/>
      <w:szCs w:val="24"/>
    </w:rPr>
  </w:style>
  <w:style w:type="paragraph" w:styleId="Xl96">
    <w:name w:val="xl9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97">
    <w:name w:val="xl97"/>
    <w:basedOn w:val="Normal"/>
    <w:qFormat/>
    <w:pPr>
      <w:pBdr>
        <w:top w:val="single" w:sz="4" w:space="0" w:color="00000A"/>
      </w:pBdr>
      <w:spacing w:lineRule="auto" w:line="240" w:before="280" w:after="280"/>
      <w:jc w:val="center"/>
      <w:textAlignment w:val="center"/>
    </w:pPr>
    <w:rPr>
      <w:rFonts w:ascii="Arial" w:hAnsi="Arial" w:eastAsia="Times New Roman" w:cs="Arial"/>
      <w:sz w:val="20"/>
      <w:szCs w:val="20"/>
    </w:rPr>
  </w:style>
  <w:style w:type="paragraph" w:styleId="Xl98">
    <w:name w:val="xl98"/>
    <w:basedOn w:val="Normal"/>
    <w:qFormat/>
    <w:pPr>
      <w:pBdr>
        <w:top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99">
    <w:name w:val="xl99"/>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0">
    <w:name w:val="xl100"/>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1">
    <w:name w:val="xl101"/>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2">
    <w:name w:val="xl102"/>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03">
    <w:name w:val="xl103"/>
    <w:basedOn w:val="Normal"/>
    <w:qFormat/>
    <w:pPr>
      <w:spacing w:lineRule="auto" w:line="240" w:before="280" w:after="280"/>
      <w:jc w:val="center"/>
      <w:textAlignment w:val="center"/>
    </w:pPr>
    <w:rPr>
      <w:rFonts w:ascii="Arial" w:hAnsi="Arial" w:eastAsia="Times New Roman" w:cs="Arial"/>
      <w:b/>
      <w:bCs/>
      <w:sz w:val="24"/>
      <w:szCs w:val="24"/>
    </w:rPr>
  </w:style>
  <w:style w:type="paragraph" w:styleId="Xl104">
    <w:name w:val="xl104"/>
    <w:basedOn w:val="Normal"/>
    <w:qFormat/>
    <w:pPr>
      <w:spacing w:lineRule="auto" w:line="240" w:before="280" w:after="280"/>
      <w:jc w:val="center"/>
      <w:textAlignment w:val="center"/>
    </w:pPr>
    <w:rPr>
      <w:rFonts w:ascii="Arial" w:hAnsi="Arial" w:eastAsia="Times New Roman" w:cs="Arial"/>
      <w:color w:val="00000A"/>
      <w:sz w:val="24"/>
      <w:szCs w:val="24"/>
    </w:rPr>
  </w:style>
  <w:style w:type="paragraph" w:styleId="Xl105">
    <w:name w:val="xl105"/>
    <w:basedOn w:val="Normal"/>
    <w:qFormat/>
    <w:pPr>
      <w:pBdr>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color w:val="000000"/>
      <w:sz w:val="24"/>
      <w:szCs w:val="24"/>
    </w:rPr>
  </w:style>
  <w:style w:type="paragraph" w:styleId="Xl106">
    <w:name w:val="xl10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07">
    <w:name w:val="xl107"/>
    <w:basedOn w:val="Normal"/>
    <w:qFormat/>
    <w:pPr>
      <w:shd w:val="clear" w:fill="FFFFFF"/>
      <w:spacing w:lineRule="auto" w:line="240" w:before="280" w:after="280"/>
      <w:jc w:val="center"/>
      <w:textAlignment w:val="center"/>
    </w:pPr>
    <w:rPr>
      <w:rFonts w:ascii="Arial" w:hAnsi="Arial" w:eastAsia="Times New Roman" w:cs="Arial"/>
      <w:sz w:val="24"/>
      <w:szCs w:val="24"/>
    </w:rPr>
  </w:style>
  <w:style w:type="paragraph" w:styleId="Xl108">
    <w:name w:val="xl108"/>
    <w:basedOn w:val="Normal"/>
    <w:qFormat/>
    <w:pPr>
      <w:spacing w:lineRule="auto" w:line="240" w:before="280" w:after="280"/>
      <w:jc w:val="center"/>
      <w:textAlignment w:val="center"/>
    </w:pPr>
    <w:rPr>
      <w:rFonts w:ascii="Arial" w:hAnsi="Arial" w:eastAsia="Times New Roman" w:cs="Arial"/>
      <w:sz w:val="24"/>
      <w:szCs w:val="24"/>
    </w:rPr>
  </w:style>
  <w:style w:type="paragraph" w:styleId="Xl109">
    <w:name w:val="xl109"/>
    <w:basedOn w:val="Normal"/>
    <w:qFormat/>
    <w:pPr>
      <w:spacing w:lineRule="auto" w:line="240" w:before="280" w:after="280"/>
    </w:pPr>
    <w:rPr>
      <w:rFonts w:ascii="Arial" w:hAnsi="Arial" w:eastAsia="Times New Roman" w:cs="Arial"/>
      <w:sz w:val="20"/>
      <w:szCs w:val="20"/>
    </w:rPr>
  </w:style>
  <w:style w:type="paragraph" w:styleId="Xl110">
    <w:name w:val="xl11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1">
    <w:name w:val="xl111"/>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12">
    <w:name w:val="xl112"/>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13">
    <w:name w:val="xl113"/>
    <w:basedOn w:val="Normal"/>
    <w:qFormat/>
    <w:pPr>
      <w:spacing w:lineRule="auto" w:line="240" w:before="280" w:after="280"/>
      <w:jc w:val="center"/>
      <w:textAlignment w:val="center"/>
    </w:pPr>
    <w:rPr>
      <w:rFonts w:ascii="Arial" w:hAnsi="Arial" w:eastAsia="Times New Roman" w:cs="Arial"/>
      <w:b/>
      <w:bCs/>
      <w:color w:val="000000"/>
      <w:sz w:val="24"/>
      <w:szCs w:val="24"/>
    </w:rPr>
  </w:style>
  <w:style w:type="paragraph" w:styleId="Xl114">
    <w:name w:val="xl114"/>
    <w:basedOn w:val="Normal"/>
    <w:qFormat/>
    <w:pPr>
      <w:shd w:val="clear" w:fill="FFFFFF"/>
      <w:spacing w:lineRule="auto" w:line="240" w:before="280" w:after="280"/>
      <w:jc w:val="center"/>
      <w:textAlignment w:val="center"/>
    </w:pPr>
    <w:rPr>
      <w:rFonts w:ascii="Arial" w:hAnsi="Arial" w:eastAsia="Times New Roman" w:cs="Arial"/>
      <w:b/>
      <w:bCs/>
      <w:sz w:val="24"/>
      <w:szCs w:val="24"/>
    </w:rPr>
  </w:style>
  <w:style w:type="paragraph" w:styleId="Xl115">
    <w:name w:val="xl11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6">
    <w:name w:val="xl11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17">
    <w:name w:val="xl11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18">
    <w:name w:val="xl118"/>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0"/>
      <w:sz w:val="24"/>
      <w:szCs w:val="24"/>
    </w:rPr>
  </w:style>
  <w:style w:type="paragraph" w:styleId="Xl119">
    <w:name w:val="xl119"/>
    <w:basedOn w:val="Normal"/>
    <w:qFormat/>
    <w:pPr>
      <w:spacing w:lineRule="auto" w:line="240" w:before="280" w:after="280"/>
      <w:jc w:val="center"/>
    </w:pPr>
    <w:rPr>
      <w:rFonts w:ascii="Times New Roman" w:hAnsi="Times New Roman" w:eastAsia="Times New Roman" w:cs="Times New Roman"/>
      <w:sz w:val="20"/>
      <w:szCs w:val="20"/>
    </w:rPr>
  </w:style>
  <w:style w:type="paragraph" w:styleId="Xl120">
    <w:name w:val="xl120"/>
    <w:basedOn w:val="Normal"/>
    <w:qFormat/>
    <w:pPr>
      <w:pBdr>
        <w:right w:val="single" w:sz="4" w:space="0" w:color="00000A"/>
      </w:pBdr>
      <w:spacing w:lineRule="auto" w:line="240" w:before="280" w:after="280"/>
    </w:pPr>
    <w:rPr>
      <w:rFonts w:ascii="Times New Roman" w:hAnsi="Times New Roman" w:eastAsia="Times New Roman" w:cs="Times New Roman"/>
      <w:sz w:val="20"/>
      <w:szCs w:val="20"/>
    </w:rPr>
  </w:style>
  <w:style w:type="paragraph" w:styleId="Xl121">
    <w:name w:val="xl121"/>
    <w:basedOn w:val="Normal"/>
    <w:qFormat/>
    <w:pPr>
      <w:pBdr>
        <w:top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2">
    <w:name w:val="xl122"/>
    <w:basedOn w:val="Normal"/>
    <w:qFormat/>
    <w:pPr>
      <w:pBdr>
        <w:top w:val="single" w:sz="4" w:space="0" w:color="00000A"/>
        <w:bottom w:val="single" w:sz="4" w:space="0" w:color="00000A"/>
        <w:right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3">
    <w:name w:val="xl123"/>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4">
    <w:name w:val="xl124"/>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0"/>
      <w:szCs w:val="20"/>
    </w:rPr>
  </w:style>
  <w:style w:type="paragraph" w:styleId="Xl125">
    <w:name w:val="xl125"/>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6">
    <w:name w:val="xl126"/>
    <w:basedOn w:val="Normal"/>
    <w:qFormat/>
    <w:pPr>
      <w:pBdr>
        <w:top w:val="single" w:sz="4" w:space="0" w:color="00000A"/>
        <w:left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sz w:val="24"/>
      <w:szCs w:val="24"/>
    </w:rPr>
  </w:style>
  <w:style w:type="paragraph" w:styleId="Xl127">
    <w:name w:val="xl127"/>
    <w:basedOn w:val="Normal"/>
    <w:qFormat/>
    <w:pPr>
      <w:pBdr>
        <w:top w:val="single" w:sz="4" w:space="0" w:color="00000A"/>
        <w:left w:val="single" w:sz="4" w:space="0" w:color="00000A"/>
        <w:bottom w:val="single" w:sz="4" w:space="0" w:color="00000A"/>
        <w:right w:val="single" w:sz="4" w:space="0" w:color="00000A"/>
      </w:pBdr>
      <w:spacing w:lineRule="auto" w:line="240" w:before="280" w:after="280"/>
      <w:jc w:val="center"/>
      <w:textAlignment w:val="top"/>
    </w:pPr>
    <w:rPr>
      <w:rFonts w:ascii="Arial" w:hAnsi="Arial" w:eastAsia="Times New Roman" w:cs="Arial"/>
      <w:b/>
      <w:bCs/>
      <w:color w:val="00000A"/>
      <w:sz w:val="20"/>
      <w:szCs w:val="20"/>
    </w:rPr>
  </w:style>
  <w:style w:type="paragraph" w:styleId="Xl128">
    <w:name w:val="xl128"/>
    <w:basedOn w:val="Normal"/>
    <w:qFormat/>
    <w:pPr>
      <w:pBdr>
        <w:left w:val="single" w:sz="4" w:space="0" w:color="00000A"/>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29">
    <w:name w:val="xl129"/>
    <w:basedOn w:val="Normal"/>
    <w:qFormat/>
    <w:pPr>
      <w:pBdr>
        <w:bottom w:val="single" w:sz="4" w:space="0" w:color="00000A"/>
      </w:pBdr>
      <w:spacing w:lineRule="auto" w:line="240" w:before="280" w:after="280"/>
      <w:textAlignment w:val="center"/>
    </w:pPr>
    <w:rPr>
      <w:rFonts w:ascii="Arial" w:hAnsi="Arial" w:eastAsia="Times New Roman" w:cs="Arial"/>
      <w:color w:val="00000A"/>
      <w:sz w:val="20"/>
      <w:szCs w:val="20"/>
    </w:rPr>
  </w:style>
  <w:style w:type="paragraph" w:styleId="Xl130">
    <w:name w:val="xl130"/>
    <w:basedOn w:val="Normal"/>
    <w:qFormat/>
    <w:pPr>
      <w:spacing w:lineRule="auto" w:line="240" w:before="280" w:after="280"/>
      <w:textAlignment w:val="center"/>
    </w:pPr>
    <w:rPr>
      <w:rFonts w:ascii="Arial" w:hAnsi="Arial" w:eastAsia="Times New Roman" w:cs="Arial"/>
      <w:color w:val="00000A"/>
      <w:sz w:val="20"/>
      <w:szCs w:val="20"/>
    </w:rPr>
  </w:style>
  <w:style w:type="paragraph" w:styleId="Xl131">
    <w:name w:val="xl131"/>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2">
    <w:name w:val="xl132"/>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3">
    <w:name w:val="xl133"/>
    <w:basedOn w:val="Normal"/>
    <w:qFormat/>
    <w:pPr>
      <w:pBdr>
        <w:bottom w:val="single" w:sz="4" w:space="0" w:color="00000A"/>
      </w:pBdr>
      <w:spacing w:lineRule="auto" w:line="240" w:before="280" w:after="280"/>
      <w:jc w:val="center"/>
      <w:textAlignment w:val="center"/>
    </w:pPr>
    <w:rPr>
      <w:rFonts w:ascii="Arial" w:hAnsi="Arial" w:eastAsia="Times New Roman" w:cs="Arial"/>
      <w:b/>
      <w:bCs/>
      <w:color w:val="000000"/>
      <w:sz w:val="24"/>
      <w:szCs w:val="24"/>
    </w:rPr>
  </w:style>
  <w:style w:type="paragraph" w:styleId="Xl134">
    <w:name w:val="xl134"/>
    <w:basedOn w:val="Normal"/>
    <w:qFormat/>
    <w:pPr>
      <w:pBdr>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35">
    <w:name w:val="xl135"/>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6">
    <w:name w:val="xl136"/>
    <w:basedOn w:val="Normal"/>
    <w:qFormat/>
    <w:pPr>
      <w:pBdr>
        <w:top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7">
    <w:name w:val="xl137"/>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8">
    <w:name w:val="xl138"/>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39">
    <w:name w:val="xl139"/>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0">
    <w:name w:val="xl140"/>
    <w:basedOn w:val="Normal"/>
    <w:qFormat/>
    <w:pPr>
      <w:pBdr>
        <w:top w:val="single" w:sz="4" w:space="0" w:color="00000A"/>
        <w:bottom w:val="single" w:sz="4" w:space="0" w:color="00000A"/>
        <w:right w:val="single" w:sz="4" w:space="0" w:color="00000A"/>
      </w:pBdr>
      <w:spacing w:lineRule="auto" w:line="240" w:before="280" w:after="280"/>
      <w:jc w:val="center"/>
      <w:textAlignment w:val="center"/>
    </w:pPr>
    <w:rPr>
      <w:rFonts w:ascii="Arial" w:hAnsi="Arial" w:eastAsia="Times New Roman" w:cs="Arial"/>
      <w:color w:val="00000A"/>
      <w:sz w:val="24"/>
      <w:szCs w:val="24"/>
    </w:rPr>
  </w:style>
  <w:style w:type="paragraph" w:styleId="Xl141">
    <w:name w:val="xl141"/>
    <w:basedOn w:val="Normal"/>
    <w:qFormat/>
    <w:pPr>
      <w:pBdr>
        <w:top w:val="single" w:sz="4" w:space="0" w:color="00000A"/>
        <w:left w:val="single" w:sz="4" w:space="0" w:color="00000A"/>
        <w:bottom w:val="single" w:sz="4" w:space="0" w:color="00000A"/>
      </w:pBdr>
      <w:spacing w:lineRule="auto" w:line="240" w:before="280" w:after="280"/>
      <w:jc w:val="center"/>
      <w:textAlignment w:val="center"/>
    </w:pPr>
    <w:rPr>
      <w:rFonts w:ascii="Times New Roman" w:hAnsi="Times New Roman" w:eastAsia="Times New Roman" w:cs="Times New Roman"/>
      <w:sz w:val="20"/>
      <w:szCs w:val="20"/>
    </w:rPr>
  </w:style>
  <w:style w:type="paragraph" w:styleId="Xl142">
    <w:name w:val="xl142"/>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3">
    <w:name w:val="xl143"/>
    <w:basedOn w:val="Normal"/>
    <w:qFormat/>
    <w:pPr>
      <w:pBdr>
        <w:bottom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4">
    <w:name w:val="xl144"/>
    <w:basedOn w:val="Normal"/>
    <w:qFormat/>
    <w:pPr>
      <w:pBdr>
        <w:bottom w:val="single" w:sz="4" w:space="0" w:color="00000A"/>
        <w:right w:val="single" w:sz="4" w:space="0" w:color="00000A"/>
      </w:pBdr>
      <w:spacing w:lineRule="auto" w:line="240" w:before="280" w:after="280"/>
      <w:jc w:val="center"/>
      <w:textAlignment w:val="center"/>
    </w:pPr>
    <w:rPr>
      <w:rFonts w:ascii="Arial" w:hAnsi="Arial" w:eastAsia="Times New Roman" w:cs="Arial"/>
      <w:b/>
      <w:bCs/>
      <w:sz w:val="24"/>
      <w:szCs w:val="24"/>
    </w:rPr>
  </w:style>
  <w:style w:type="paragraph" w:styleId="Xl145">
    <w:name w:val="xl145"/>
    <w:basedOn w:val="Normal"/>
    <w:qFormat/>
    <w:pPr>
      <w:pBdr>
        <w:top w:val="single" w:sz="4" w:space="0" w:color="00000A"/>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6">
    <w:name w:val="xl146"/>
    <w:basedOn w:val="Normal"/>
    <w:qFormat/>
    <w:pPr>
      <w:pBdr>
        <w:top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7">
    <w:name w:val="xl147"/>
    <w:basedOn w:val="Normal"/>
    <w:qFormat/>
    <w:pPr>
      <w:pBdr>
        <w:top w:val="single" w:sz="4" w:space="0" w:color="00000A"/>
        <w:bottom w:val="single" w:sz="4" w:space="0" w:color="00000A"/>
        <w:righ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48">
    <w:name w:val="xl148"/>
    <w:basedOn w:val="Normal"/>
    <w:qFormat/>
    <w:pPr>
      <w:pBdr>
        <w:top w:val="single" w:sz="4" w:space="0" w:color="00000A"/>
      </w:pBdr>
      <w:spacing w:lineRule="auto" w:line="240" w:before="280" w:after="280"/>
      <w:jc w:val="center"/>
    </w:pPr>
    <w:rPr>
      <w:rFonts w:ascii="Times New Roman" w:hAnsi="Times New Roman" w:eastAsia="Times New Roman" w:cs="Times New Roman"/>
      <w:sz w:val="20"/>
      <w:szCs w:val="20"/>
    </w:rPr>
  </w:style>
  <w:style w:type="paragraph" w:styleId="Xl149">
    <w:name w:val="xl149"/>
    <w:basedOn w:val="Normal"/>
    <w:qFormat/>
    <w:pPr>
      <w:pBdr>
        <w:top w:val="single" w:sz="4" w:space="0" w:color="00000A"/>
        <w:left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0">
    <w:name w:val="xl150"/>
    <w:basedOn w:val="Normal"/>
    <w:qFormat/>
    <w:pPr>
      <w:pBdr>
        <w:top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1">
    <w:name w:val="xl151"/>
    <w:basedOn w:val="Normal"/>
    <w:qFormat/>
    <w:pPr>
      <w:pBdr>
        <w:left w:val="single" w:sz="4" w:space="0" w:color="00000A"/>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2">
    <w:name w:val="xl152"/>
    <w:basedOn w:val="Normal"/>
    <w:qFormat/>
    <w:pPr>
      <w:pBdr>
        <w:bottom w:val="single" w:sz="4" w:space="0" w:color="00000A"/>
      </w:pBdr>
      <w:shd w:val="clear" w:fill="FFFFFF"/>
      <w:spacing w:lineRule="auto" w:line="240" w:before="280" w:after="280"/>
      <w:jc w:val="center"/>
      <w:textAlignment w:val="center"/>
    </w:pPr>
    <w:rPr>
      <w:rFonts w:ascii="Arial" w:hAnsi="Arial" w:eastAsia="Times New Roman" w:cs="Arial"/>
      <w:b/>
      <w:bCs/>
      <w:sz w:val="24"/>
      <w:szCs w:val="24"/>
    </w:rPr>
  </w:style>
  <w:style w:type="paragraph" w:styleId="Xl153">
    <w:name w:val="xl153"/>
    <w:basedOn w:val="Normal"/>
    <w:qFormat/>
    <w:pPr>
      <w:pBdr>
        <w:top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4">
    <w:name w:val="xl154"/>
    <w:basedOn w:val="Normal"/>
    <w:qFormat/>
    <w:pPr>
      <w:pBdr>
        <w:top w:val="single" w:sz="4" w:space="0" w:color="00000A"/>
        <w:left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Xl155">
    <w:name w:val="xl155"/>
    <w:basedOn w:val="Normal"/>
    <w:qFormat/>
    <w:pPr>
      <w:pBdr>
        <w:left w:val="single" w:sz="4" w:space="0" w:color="00000A"/>
        <w:bottom w:val="single" w:sz="4" w:space="0" w:color="00000A"/>
      </w:pBdr>
      <w:spacing w:lineRule="auto" w:line="240" w:before="280" w:after="280"/>
      <w:jc w:val="center"/>
      <w:textAlignment w:val="center"/>
    </w:pPr>
    <w:rPr>
      <w:rFonts w:ascii="Arial" w:hAnsi="Arial" w:eastAsia="Times New Roman" w:cs="Arial"/>
      <w:sz w:val="24"/>
      <w:szCs w:val="24"/>
    </w:rPr>
  </w:style>
  <w:style w:type="paragraph" w:styleId="Contedodoquadro">
    <w:name w:val="Conteúdo do quadro"/>
    <w:basedOn w:val="Normal"/>
    <w:qFormat/>
    <w:pPr/>
    <w:rPr/>
  </w:style>
  <w:style w:type="paragraph" w:styleId="TableParagraph">
    <w:name w:val="Table Paragraph"/>
    <w:basedOn w:val="Normal"/>
    <w:qFormat/>
    <w:pPr>
      <w:suppressAutoHyphens w:val="true"/>
    </w:pPr>
    <w:rPr/>
  </w:style>
  <w:style w:type="paragraph" w:styleId="Default">
    <w:name w:val="Default"/>
    <w:qFormat/>
    <w:pPr>
      <w:widowControl/>
      <w:suppressAutoHyphens w:val="true"/>
      <w:overflowPunct w:val="tru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right="0" w:hanging="0"/>
      <w:contextualSpacing/>
    </w:pPr>
    <w:rPr>
      <w:rFonts w:ascii="Times New Roman" w:hAnsi="Times New Roman" w:eastAsia="Times New Roman" w:cs="Times New Roman"/>
      <w:sz w:val="20"/>
      <w:szCs w:val="20"/>
      <w:lang w:bidi="ar-SA"/>
    </w:rPr>
  </w:style>
  <w:style w:type="numbering" w:styleId="NoList">
    <w:name w:val="No List"/>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1949</TotalTime>
  <Application>LibreOffice/5.2.6.2$Windows_x86 LibreOffice_project/a3100ed2409ebf1c212f5048fbe377c281438fdc</Application>
  <Pages>109</Pages>
  <Words>56850</Words>
  <Characters>301256</Characters>
  <CharactersWithSpaces>349319</CharactersWithSpaces>
  <Paragraphs>9057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2017-06-01T20:30:00Z</dcterms:created>
  <dc:creator>Adriano</dc:creator>
  <dc:description/>
  <dc:language>pt-BR</dc:language>
  <cp:lastModifiedBy/>
  <cp:lastPrinted>2017-10-27T16:09:00Z</cp:lastPrinted>
  <dcterms:modified xsi:type="dcterms:W3CDTF">2019-05-03T15:58:39Z</dcterms:modified>
  <cp:revision>98</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