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lineRule="auto" w:line="360"/>
        <w:ind w:left="2595" w:right="2773" w:hanging="0"/>
        <w:rPr>
          <w:color w:val="000000"/>
        </w:rPr>
      </w:pPr>
      <w:r>
        <w:rPr>
          <w:color w:val="000000"/>
        </w:rPr>
        <w:t>ANEXO V</w:t>
      </w:r>
    </w:p>
    <w:p>
      <w:pPr>
        <w:pStyle w:val="Normal"/>
        <w:tabs>
          <w:tab w:val="left" w:pos="6521" w:leader="none"/>
        </w:tabs>
        <w:spacing w:lineRule="auto" w:line="360"/>
        <w:ind w:left="851" w:right="931" w:hanging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TERMO DE CONCILIAÇÃO JUDICIÁRIA</w:t>
      </w:r>
    </w:p>
    <w:p>
      <w:pPr>
        <w:pStyle w:val="WWCorpodetexto2"/>
        <w:tabs>
          <w:tab w:val="left" w:pos="1724" w:leader="none"/>
        </w:tabs>
        <w:spacing w:lineRule="auto" w:line="240"/>
        <w:ind w:left="851" w:right="931" w:hanging="0"/>
        <w:jc w:val="center"/>
        <w:rPr>
          <w:b/>
          <w:b/>
        </w:rPr>
      </w:pPr>
      <w:r>
        <w:rPr>
          <w:b/>
        </w:rPr>
        <w:t>Acordo entre MPT e AGU impede União de contratar trabalhadores por meio de cooperativas de mão-de-obra.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>
        <w:rPr>
          <w:b/>
          <w:sz w:val="24"/>
          <w:szCs w:val="24"/>
        </w:rPr>
        <w:t>MINISTÉRIO PÚBLICO DO TRABALHO</w:t>
      </w:r>
      <w:r>
        <w:rPr>
          <w:sz w:val="24"/>
          <w:szCs w:val="24"/>
        </w:rPr>
        <w:t xml:space="preserve">, neste ato representado pelo Procurador-Geral do Trabalho, Dr. Guilherme Mastrichi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Helia Maria de Oliveira Bettero e pelo Advogado da União, Dr. Mário Luiz Guerreiro; 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CONSIDERANDO</w:t>
      </w:r>
      <w:r>
        <w:rPr>
          <w:sz w:val="24"/>
          <w:szCs w:val="24"/>
        </w:rPr>
        <w:t xml:space="preserve">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CONSIDERANDO</w:t>
      </w:r>
      <w:r>
        <w:rPr>
          <w:sz w:val="24"/>
          <w:szCs w:val="24"/>
        </w:rPr>
        <w:t xml:space="preserve"> que a legislação consolidada em seu ARTIGO 9º, comina de nulidade absoluta todos os atos praticados com o intuito de desvirtuar, impedir ou fraudar a aplicação da lei trabalhista;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CONSIDERANDO</w:t>
      </w:r>
      <w:r>
        <w:rPr>
          <w:sz w:val="24"/>
          <w:szCs w:val="24"/>
        </w:rPr>
        <w:t xml:space="preserve"> que as sociedades cooperativas, segundo a Lei n. 5.764, de 16.12.1971, ARTIGO 4º, "(...) são sociedades de pessoas, com forma e natureza jurídica próprias, de natureza civil, não sujeitas à falência, constituídas para prestar serviços aos associados".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CONSIDERANDO </w:t>
      </w:r>
      <w:r>
        <w:rPr>
          <w:sz w:val="24"/>
          <w:szCs w:val="24"/>
        </w:rPr>
        <w:t>que as cooperativas podem prestar serviços a não associados somente em caráter excepcional e desde que tal faculdade atenda aos objetivos sociais previstos na sua norma estatutária, (ARTIGO 86, da Lei n. 5.764, de 16.12.1971), aspecto legal que revela a patente impossibilidade jurídica das cooperativas funcionarem como agências de locação de mão-de-obra terceirizada;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CONSIDERANDO</w:t>
      </w:r>
      <w:r>
        <w:rPr>
          <w:sz w:val="24"/>
          <w:szCs w:val="24"/>
        </w:rPr>
        <w:t xml:space="preserve"> que a administração pública está inexoravelmente jungida ao princípio da legalidade, e que a prática do merchandage é vedada pelo ARTIGO 3º, da CLT e repelida pela jurisprudência sumulada do C. TST (En. 331);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CONSIDERANDO</w:t>
      </w:r>
      <w:r>
        <w:rPr>
          <w:sz w:val="24"/>
          <w:szCs w:val="24"/>
        </w:rPr>
        <w:t xml:space="preserve">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(arts. 5º, caput e 1º, III e IV da Constituição Federal); 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CONSIDERANDO</w:t>
      </w:r>
      <w:r>
        <w:rPr>
          <w:sz w:val="24"/>
          <w:szCs w:val="24"/>
        </w:rPr>
        <w:t xml:space="preserve">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ARTIGO 3º, da CLT na atividade de intermediação de mão-de-obra patrocinada por falsas cooperativas;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CONSIDERANDO</w:t>
      </w:r>
      <w:r>
        <w:rPr>
          <w:sz w:val="24"/>
          <w:szCs w:val="24"/>
        </w:rPr>
        <w:t xml:space="preserve"> o teor da Recomendação Para a Promoção das Cooperativas aprovada na 90ª sessão, da OIT – Organização Internacional do Trabalho, em junho de 2002, dispondo que os Estados devem implementar políticas nos sentido de: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"8.1.b Garantir que as cooperativas não sejam criadas para, ou direcionadas a, o não cumprimento das Leis do trabalho ou usadas para estabelecer relação de emprego disfarçado, e combater pseudocooperativas que violam os direitos dos trabalhadores velando para que a Lei trabalhista seja aplicada em todas as empresas."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RESOLVEM: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Celebrar </w:t>
      </w:r>
      <w:r>
        <w:rPr>
          <w:b/>
          <w:sz w:val="24"/>
          <w:szCs w:val="24"/>
        </w:rPr>
        <w:t>CONCILIAÇÃO</w:t>
      </w:r>
      <w:r>
        <w:rPr>
          <w:sz w:val="24"/>
          <w:szCs w:val="24"/>
        </w:rPr>
        <w:t xml:space="preserve"> nos autos do Processo 01082-2002-020-10-00-0, em tramitação perante a MM. Vigésima Vara do Trabalho de Brasília-DF, mediante os seguintes termos:</w:t>
      </w:r>
    </w:p>
    <w:p>
      <w:pPr>
        <w:pStyle w:val="Normal"/>
        <w:tabs>
          <w:tab w:val="left" w:pos="1724" w:leader="none"/>
        </w:tabs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>
      <w:pPr>
        <w:pStyle w:val="Normal"/>
        <w:ind w:left="708" w:right="931" w:hanging="0"/>
        <w:jc w:val="both"/>
        <w:rPr/>
      </w:pPr>
      <w:r>
        <w:rPr>
          <w:sz w:val="24"/>
          <w:szCs w:val="24"/>
        </w:rPr>
        <w:t xml:space="preserve">a) – </w:t>
        <w:tab/>
        <w:t>Serviços de limpeza;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– </w:t>
        <w:tab/>
        <w:t>Serviços de conservação;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– </w:t>
        <w:tab/>
        <w:t>Serviços de segurança, de vigilância e de portaria;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– </w:t>
        <w:tab/>
        <w:t>Serviços de recepção;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e) – </w:t>
        <w:tab/>
        <w:t>Serviços de copeiragem;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f) – </w:t>
        <w:tab/>
        <w:t>Serviços de reprografia;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g) – </w:t>
        <w:tab/>
        <w:t>Serviços de telefonia;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h) – </w:t>
        <w:tab/>
        <w:t>Serviços de manutenção de prédios, de equipamentos, de veículos e de instalações;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i) – </w:t>
        <w:tab/>
        <w:t>Serviços de secretariado e secretariado executivo;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j) – </w:t>
        <w:tab/>
        <w:t>Serviços de auxiliar de escritório;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k) – </w:t>
        <w:tab/>
        <w:t>Serviços de auxiliar administrativo;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l) – </w:t>
        <w:tab/>
        <w:t>Serviços de office boy (contínuo);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m) – </w:t>
        <w:tab/>
        <w:t>Serviços de digitação;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n) – </w:t>
        <w:tab/>
        <w:t>Serviços de assessoria de imprensa e de relações públicas;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o) –</w:t>
        <w:tab/>
        <w:t>Serviços de motorista, no caso de os veículos serem fornecidos pelo próprio órgão licitante;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p) – </w:t>
        <w:tab/>
        <w:t>Serviços de ascensorista;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q) – </w:t>
        <w:tab/>
        <w:t>Serviços de enfermagem; e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r) – </w:t>
        <w:tab/>
        <w:t>Serviços de agentes comunitários de saúde.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Parágrafo Primeiro</w:t>
      </w:r>
      <w:r>
        <w:rPr>
          <w:sz w:val="24"/>
          <w:szCs w:val="24"/>
        </w:rPr>
        <w:t xml:space="preserve"> – O disposto nesta Cláusula não autoriza outras formas de terceirização sem previsão legal.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Parágrafo Segundo</w:t>
      </w:r>
      <w:r>
        <w:rPr>
          <w:sz w:val="24"/>
          <w:szCs w:val="24"/>
        </w:rPr>
        <w:t xml:space="preserve"> – As partes podem, a qualquer momento, mediante comunicação e acordos prévios, ampliar o rol de serviços elencados no caput.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8" w:right="931" w:hanging="0"/>
        <w:jc w:val="both"/>
        <w:rPr/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>Cláusula Segunda</w:t>
      </w:r>
      <w:r>
        <w:rPr>
          <w:sz w:val="24"/>
          <w:szCs w:val="24"/>
        </w:rPr>
        <w:t xml:space="preserve">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>
      <w:pPr>
        <w:pStyle w:val="Normal"/>
        <w:ind w:left="708" w:right="931" w:hanging="0"/>
        <w:jc w:val="both"/>
        <w:rPr>
          <w:sz w:val="24"/>
          <w:szCs w:val="24"/>
        </w:rPr>
      </w:pPr>
      <w:r>
        <w:rPr/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Cláusula Terceira</w:t>
      </w:r>
      <w:r>
        <w:rPr>
          <w:sz w:val="24"/>
          <w:szCs w:val="24"/>
        </w:rPr>
        <w:t xml:space="preserve">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Parágrafo Primeiro</w:t>
      </w:r>
      <w:r>
        <w:rPr>
          <w:sz w:val="24"/>
          <w:szCs w:val="24"/>
        </w:rPr>
        <w:t xml:space="preserve"> - É lícita a contratação de genuínas sociedades cooperativas desde que os serviços licitados não estejam incluídos no rol inserido nas alíneas "a" a "r"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mão-de-obra) de trabalhadores a órgãos públicos por cooperativas de qualquer natureza.</w:t>
      </w:r>
    </w:p>
    <w:p>
      <w:pPr>
        <w:pStyle w:val="WWCorpodetexto31"/>
        <w:ind w:left="851" w:right="931" w:hanging="0"/>
        <w:rPr/>
      </w:pPr>
      <w:r>
        <w:rPr>
          <w:b/>
        </w:rPr>
        <w:t>Parágrafo Segundo</w:t>
      </w:r>
      <w:r>
        <w:rPr/>
        <w:t xml:space="preserve">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Parágrafo Terceiro</w:t>
      </w:r>
      <w:r>
        <w:rPr>
          <w:sz w:val="24"/>
          <w:szCs w:val="24"/>
        </w:rPr>
        <w:t xml:space="preserve">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DAS SANÇÕES PELO DESCUMPRIMENTO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Cláusula Quarta</w:t>
      </w:r>
      <w:r>
        <w:rPr>
          <w:sz w:val="24"/>
          <w:szCs w:val="24"/>
        </w:rPr>
        <w:t xml:space="preserve">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 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DA EXTENSÃO DO AJUSTE À ADMINISTRAÇÃO PÚBLICA INDIRETA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WWCorpodetexto21"/>
        <w:tabs>
          <w:tab w:val="left" w:pos="708" w:leader="none"/>
          <w:tab w:val="left" w:pos="1701" w:leader="none"/>
        </w:tabs>
        <w:suppressAutoHyphens w:val="false"/>
        <w:spacing w:before="0" w:after="0"/>
        <w:ind w:left="851" w:right="931" w:hanging="0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Cláusula Quinta</w:t>
      </w:r>
      <w:r>
        <w:rPr>
          <w:rFonts w:cs="Times New Roman" w:ascii="Times New Roman" w:hAnsi="Times New Roman"/>
          <w:sz w:val="24"/>
          <w:szCs w:val="24"/>
        </w:rPr>
        <w:t xml:space="preserve">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DA HOMOLOGAÇÃO JUDICIAL DO AJUSTE</w:t>
      </w:r>
    </w:p>
    <w:p>
      <w:pPr>
        <w:pStyle w:val="Normal"/>
        <w:ind w:left="851" w:right="931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>Cláusula Sexta</w:t>
      </w:r>
      <w:r>
        <w:rPr>
          <w:sz w:val="24"/>
          <w:szCs w:val="24"/>
        </w:rPr>
        <w:t xml:space="preserve"> – - As partes submetem os termos da presente conciliação à homologação do Juízo da MM. Vigésima Vara do Trabalho, para que o ajuste gere os seus efeitos jurídicos.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Cláusula Sétima - Os termos da presente avença gerarão seus efeitos jurídicos a partir da data de sua homologação judicial.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Parágrafo único – Os contratos em vigor entre a UNIÃO e as Cooperativas, que contrariem o presente acordo, não serão renovados ou prorrogados.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Cláusula Oitava - A presente conciliação extingue o processo com exame do mérito apenas em relação à UNIÃO, prosseguindo o feito quanto aos demais réus.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bookmarkStart w:id="0" w:name="_GoBack"/>
      <w:bookmarkStart w:id="1" w:name="_GoBack"/>
      <w:bookmarkEnd w:id="1"/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Dito isto, por estarem as partes ajustadas e compromissadas, firmam a presente conciliação em cinco vias, a qual terá eficácia de título judicial, nos termos dos artigos 831, parágrafo único, e 876, caput, da CLT.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Brasília, 05 de junho de 2003.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GUILHERME MASTRICHI BASSO GUIOMAR RECHIA GOMES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Procurador-Geral do Trabalho Vice-Procuradora-Geral do Trabalho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BRASILINO SANTOS RAMOS FÁBIO LEAL CARDOSO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Procurador-Chefe/PRT 10ª Região Procurador do Trabalho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MOACIR ANTONIO DA SILVA MACHADO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Procurador-Geral da União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HELIA MARIA DE OLIVEIRA BETTERO MÁRIOLUIZ GUERREIRO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Sub-Procuradora-Regional da União–1ª Região Advogado da União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Testemunhas: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GRIJALBO FERNANDES COUTINHO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Presidente da Associação Nacional dos Magistrados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da Justiça do Trabalho – ANAMATRA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PAULO SÉRGIO DOMINGUES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Presidente da Associação dos Juízes Federais do Brasil - AJUFE</w:t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851" w:right="931" w:hanging="0"/>
        <w:jc w:val="both"/>
        <w:rPr>
          <w:sz w:val="24"/>
          <w:szCs w:val="24"/>
        </w:rPr>
      </w:pPr>
      <w:r>
        <w:rPr>
          <w:sz w:val="24"/>
          <w:szCs w:val="24"/>
        </w:rPr>
        <w:t>REGINA BUTRUS</w:t>
      </w:r>
    </w:p>
    <w:p>
      <w:pPr>
        <w:pStyle w:val="Normal"/>
        <w:ind w:left="851" w:right="931" w:hanging="0"/>
        <w:jc w:val="both"/>
        <w:rPr/>
      </w:pPr>
      <w:r>
        <w:rPr>
          <w:sz w:val="24"/>
          <w:szCs w:val="24"/>
        </w:rPr>
        <w:t>Presidente da Associação Nacional dos Procuradores do Trabalho – ANPT</w:t>
      </w:r>
    </w:p>
    <w:sectPr>
      <w:headerReference w:type="default" r:id="rId2"/>
      <w:type w:val="nextPage"/>
      <w:pgSz w:w="11906" w:h="16838"/>
      <w:pgMar w:left="760" w:right="580" w:header="0" w:top="1580" w:footer="0" w:bottom="12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/>
      <w:drawing>
        <wp:inline distT="0" distB="0" distL="0" distR="0">
          <wp:extent cx="607060" cy="628015"/>
          <wp:effectExtent l="0" t="0" r="0" b="0"/>
          <wp:docPr id="1" name="Imagem 7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7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5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2" name="Imagem 7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8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35c6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1"/>
    <w:qFormat/>
    <w:rsid w:val="00435c68"/>
    <w:rPr>
      <w:rFonts w:ascii="Times New Roman" w:hAnsi="Times New Roman" w:eastAsia="Times New Roman" w:cs="Times New Roman"/>
      <w:b/>
      <w:bCs/>
      <w:sz w:val="24"/>
      <w:szCs w:val="24"/>
      <w:lang w:val="pt-PT" w:eastAsia="pt-PT" w:bidi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435c68"/>
    <w:rPr>
      <w:rFonts w:ascii="Times New Roman" w:hAnsi="Times New Roman" w:eastAsia="Times New Roman" w:cs="Times New Roman"/>
      <w:sz w:val="24"/>
      <w:szCs w:val="24"/>
      <w:lang w:val="pt-PT" w:eastAsia="pt-PT" w:bidi="pt-PT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RodapChar" w:customStyle="1">
    <w:name w:val="Rodapé Char"/>
    <w:basedOn w:val="DefaultParagraphFont"/>
    <w:link w:val="Rodap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styleId="ListLabel2">
    <w:name w:val="ListLabel 2"/>
    <w:qFormat/>
    <w:rPr>
      <w:lang w:val="pt-PT" w:eastAsia="pt-PT" w:bidi="pt-PT"/>
    </w:rPr>
  </w:style>
  <w:style w:type="character" w:styleId="ListLabel3">
    <w:name w:val="ListLabel 3"/>
    <w:qFormat/>
    <w:rPr>
      <w:lang w:val="pt-PT" w:eastAsia="pt-PT" w:bidi="pt-PT"/>
    </w:rPr>
  </w:style>
  <w:style w:type="character" w:styleId="ListLabel4">
    <w:name w:val="ListLabel 4"/>
    <w:qFormat/>
    <w:rPr>
      <w:lang w:val="pt-PT" w:eastAsia="pt-PT" w:bidi="pt-PT"/>
    </w:rPr>
  </w:style>
  <w:style w:type="character" w:styleId="ListLabel5">
    <w:name w:val="ListLabel 5"/>
    <w:qFormat/>
    <w:rPr>
      <w:lang w:val="pt-PT" w:eastAsia="pt-PT" w:bidi="pt-PT"/>
    </w:rPr>
  </w:style>
  <w:style w:type="character" w:styleId="ListLabel6">
    <w:name w:val="ListLabel 6"/>
    <w:qFormat/>
    <w:rPr>
      <w:lang w:val="pt-PT" w:eastAsia="pt-PT" w:bidi="pt-PT"/>
    </w:rPr>
  </w:style>
  <w:style w:type="character" w:styleId="ListLabel7">
    <w:name w:val="ListLabel 7"/>
    <w:qFormat/>
    <w:rPr>
      <w:lang w:val="pt-PT" w:eastAsia="pt-PT" w:bidi="pt-PT"/>
    </w:rPr>
  </w:style>
  <w:style w:type="character" w:styleId="ListLabel8">
    <w:name w:val="ListLabel 8"/>
    <w:qFormat/>
    <w:rPr>
      <w:lang w:val="pt-PT" w:eastAsia="pt-PT" w:bidi="pt-PT"/>
    </w:rPr>
  </w:style>
  <w:style w:type="character" w:styleId="ListLabel9">
    <w:name w:val="ListLabel 9"/>
    <w:qFormat/>
    <w:rPr>
      <w:lang w:val="pt-PT" w:eastAsia="pt-PT" w:bidi="pt-PT"/>
    </w:rPr>
  </w:style>
  <w:style w:type="character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11">
    <w:name w:val="ListLabel 11"/>
    <w:qFormat/>
    <w:rPr>
      <w:lang w:val="pt-PT" w:eastAsia="pt-PT" w:bidi="pt-PT"/>
    </w:rPr>
  </w:style>
  <w:style w:type="character" w:styleId="ListLabel12">
    <w:name w:val="ListLabel 12"/>
    <w:qFormat/>
    <w:rPr>
      <w:lang w:val="pt-PT" w:eastAsia="pt-PT" w:bidi="pt-PT"/>
    </w:rPr>
  </w:style>
  <w:style w:type="character" w:styleId="ListLabel13">
    <w:name w:val="ListLabel 13"/>
    <w:qFormat/>
    <w:rPr>
      <w:lang w:val="pt-PT" w:eastAsia="pt-PT" w:bidi="pt-PT"/>
    </w:rPr>
  </w:style>
  <w:style w:type="character" w:styleId="ListLabel14">
    <w:name w:val="ListLabel 14"/>
    <w:qFormat/>
    <w:rPr>
      <w:lang w:val="pt-PT" w:eastAsia="pt-PT" w:bidi="pt-PT"/>
    </w:rPr>
  </w:style>
  <w:style w:type="character" w:styleId="ListLabel15">
    <w:name w:val="ListLabel 15"/>
    <w:qFormat/>
    <w:rPr>
      <w:lang w:val="pt-PT" w:eastAsia="pt-PT" w:bidi="pt-PT"/>
    </w:rPr>
  </w:style>
  <w:style w:type="character" w:styleId="ListLabel16">
    <w:name w:val="ListLabel 16"/>
    <w:qFormat/>
    <w:rPr>
      <w:lang w:val="pt-PT" w:eastAsia="pt-PT" w:bidi="pt-PT"/>
    </w:rPr>
  </w:style>
  <w:style w:type="character" w:styleId="ListLabel17">
    <w:name w:val="ListLabel 17"/>
    <w:qFormat/>
    <w:rPr>
      <w:lang w:val="pt-PT" w:eastAsia="pt-PT" w:bidi="pt-PT"/>
    </w:rPr>
  </w:style>
  <w:style w:type="character" w:styleId="ListLabel18">
    <w:name w:val="ListLabel 18"/>
    <w:qFormat/>
    <w:rPr>
      <w:lang w:val="pt-PT" w:eastAsia="pt-PT" w:bidi="pt-PT"/>
    </w:rPr>
  </w:style>
  <w:style w:type="character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styleId="ListLabel20">
    <w:name w:val="ListLabel 20"/>
    <w:qFormat/>
    <w:rPr>
      <w:lang w:val="pt-PT" w:eastAsia="pt-PT" w:bidi="pt-PT"/>
    </w:rPr>
  </w:style>
  <w:style w:type="character" w:styleId="ListLabel21">
    <w:name w:val="ListLabel 21"/>
    <w:qFormat/>
    <w:rPr>
      <w:lang w:val="pt-PT" w:eastAsia="pt-PT" w:bidi="pt-PT"/>
    </w:rPr>
  </w:style>
  <w:style w:type="character" w:styleId="ListLabel22">
    <w:name w:val="ListLabel 22"/>
    <w:qFormat/>
    <w:rPr>
      <w:lang w:val="pt-PT" w:eastAsia="pt-PT" w:bidi="pt-PT"/>
    </w:rPr>
  </w:style>
  <w:style w:type="character" w:styleId="ListLabel23">
    <w:name w:val="ListLabel 23"/>
    <w:qFormat/>
    <w:rPr>
      <w:lang w:val="pt-PT" w:eastAsia="pt-PT" w:bidi="pt-PT"/>
    </w:rPr>
  </w:style>
  <w:style w:type="character" w:styleId="ListLabel24">
    <w:name w:val="ListLabel 24"/>
    <w:qFormat/>
    <w:rPr>
      <w:lang w:val="pt-PT" w:eastAsia="pt-PT" w:bidi="pt-PT"/>
    </w:rPr>
  </w:style>
  <w:style w:type="character" w:styleId="ListLabel25">
    <w:name w:val="ListLabel 25"/>
    <w:qFormat/>
    <w:rPr>
      <w:lang w:val="pt-PT" w:eastAsia="pt-PT" w:bidi="pt-PT"/>
    </w:rPr>
  </w:style>
  <w:style w:type="character" w:styleId="ListLabel26">
    <w:name w:val="ListLabel 26"/>
    <w:qFormat/>
    <w:rPr>
      <w:lang w:val="pt-PT" w:eastAsia="pt-PT" w:bidi="pt-PT"/>
    </w:rPr>
  </w:style>
  <w:style w:type="character" w:styleId="ListLabel27">
    <w:name w:val="ListLabel 27"/>
    <w:qFormat/>
    <w:rPr>
      <w:lang w:val="pt-PT" w:eastAsia="pt-PT" w:bidi="pt-PT"/>
    </w:rPr>
  </w:style>
  <w:style w:type="character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1">
    <w:name w:val="ListLabel 31"/>
    <w:qFormat/>
    <w:rPr>
      <w:lang w:val="pt-PT" w:eastAsia="pt-PT" w:bidi="pt-PT"/>
    </w:rPr>
  </w:style>
  <w:style w:type="character" w:styleId="ListLabel32">
    <w:name w:val="ListLabel 32"/>
    <w:qFormat/>
    <w:rPr>
      <w:lang w:val="pt-PT" w:eastAsia="pt-PT" w:bidi="pt-PT"/>
    </w:rPr>
  </w:style>
  <w:style w:type="character" w:styleId="ListLabel33">
    <w:name w:val="ListLabel 33"/>
    <w:qFormat/>
    <w:rPr>
      <w:lang w:val="pt-PT" w:eastAsia="pt-PT" w:bidi="pt-PT"/>
    </w:rPr>
  </w:style>
  <w:style w:type="character" w:styleId="ListLabel34">
    <w:name w:val="ListLabel 34"/>
    <w:qFormat/>
    <w:rPr>
      <w:lang w:val="pt-PT" w:eastAsia="pt-PT" w:bidi="pt-PT"/>
    </w:rPr>
  </w:style>
  <w:style w:type="character" w:styleId="ListLabel35">
    <w:name w:val="ListLabel 35"/>
    <w:qFormat/>
    <w:rPr>
      <w:lang w:val="pt-PT" w:eastAsia="pt-PT" w:bidi="pt-PT"/>
    </w:rPr>
  </w:style>
  <w:style w:type="character" w:styleId="ListLabel36">
    <w:name w:val="ListLabel 36"/>
    <w:qFormat/>
    <w:rPr>
      <w:lang w:val="pt-PT" w:eastAsia="pt-PT" w:bidi="pt-PT"/>
    </w:rPr>
  </w:style>
  <w:style w:type="character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8">
    <w:name w:val="ListLabel 38"/>
    <w:qFormat/>
    <w:rPr>
      <w:lang w:val="pt-PT" w:eastAsia="pt-PT" w:bidi="pt-PT"/>
    </w:rPr>
  </w:style>
  <w:style w:type="character" w:styleId="ListLabel39">
    <w:name w:val="ListLabel 39"/>
    <w:qFormat/>
    <w:rPr>
      <w:lang w:val="pt-PT" w:eastAsia="pt-PT" w:bidi="pt-PT"/>
    </w:rPr>
  </w:style>
  <w:style w:type="character" w:styleId="ListLabel40">
    <w:name w:val="ListLabel 40"/>
    <w:qFormat/>
    <w:rPr>
      <w:lang w:val="pt-PT" w:eastAsia="pt-PT" w:bidi="pt-PT"/>
    </w:rPr>
  </w:style>
  <w:style w:type="character" w:styleId="ListLabel41">
    <w:name w:val="ListLabel 41"/>
    <w:qFormat/>
    <w:rPr>
      <w:lang w:val="pt-PT" w:eastAsia="pt-PT" w:bidi="pt-PT"/>
    </w:rPr>
  </w:style>
  <w:style w:type="character" w:styleId="ListLabel42">
    <w:name w:val="ListLabel 42"/>
    <w:qFormat/>
    <w:rPr>
      <w:lang w:val="pt-PT" w:eastAsia="pt-PT" w:bidi="pt-PT"/>
    </w:rPr>
  </w:style>
  <w:style w:type="character" w:styleId="ListLabel43">
    <w:name w:val="ListLabel 43"/>
    <w:qFormat/>
    <w:rPr>
      <w:lang w:val="pt-PT" w:eastAsia="pt-PT" w:bidi="pt-PT"/>
    </w:rPr>
  </w:style>
  <w:style w:type="character" w:styleId="ListLabel44">
    <w:name w:val="ListLabel 44"/>
    <w:qFormat/>
    <w:rPr>
      <w:lang w:val="pt-PT" w:eastAsia="pt-PT" w:bidi="pt-PT"/>
    </w:rPr>
  </w:style>
  <w:style w:type="character" w:styleId="ListLabel45">
    <w:name w:val="ListLabel 45"/>
    <w:qFormat/>
    <w:rPr>
      <w:lang w:val="pt-PT" w:eastAsia="pt-PT" w:bidi="pt-PT"/>
    </w:rPr>
  </w:style>
  <w:style w:type="character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styleId="ListLabel47">
    <w:name w:val="ListLabel 47"/>
    <w:qFormat/>
    <w:rPr>
      <w:lang w:val="pt-PT" w:eastAsia="pt-PT" w:bidi="pt-PT"/>
    </w:rPr>
  </w:style>
  <w:style w:type="character" w:styleId="ListLabel48">
    <w:name w:val="ListLabel 48"/>
    <w:qFormat/>
    <w:rPr>
      <w:lang w:val="pt-PT" w:eastAsia="pt-PT" w:bidi="pt-PT"/>
    </w:rPr>
  </w:style>
  <w:style w:type="character" w:styleId="ListLabel49">
    <w:name w:val="ListLabel 49"/>
    <w:qFormat/>
    <w:rPr>
      <w:lang w:val="pt-PT" w:eastAsia="pt-PT" w:bidi="pt-PT"/>
    </w:rPr>
  </w:style>
  <w:style w:type="character" w:styleId="ListLabel50">
    <w:name w:val="ListLabel 50"/>
    <w:qFormat/>
    <w:rPr>
      <w:lang w:val="pt-PT" w:eastAsia="pt-PT" w:bidi="pt-PT"/>
    </w:rPr>
  </w:style>
  <w:style w:type="character" w:styleId="ListLabel51">
    <w:name w:val="ListLabel 51"/>
    <w:qFormat/>
    <w:rPr>
      <w:lang w:val="pt-PT" w:eastAsia="pt-PT" w:bidi="pt-PT"/>
    </w:rPr>
  </w:style>
  <w:style w:type="character" w:styleId="ListLabel52">
    <w:name w:val="ListLabel 52"/>
    <w:qFormat/>
    <w:rPr>
      <w:lang w:val="pt-PT" w:eastAsia="pt-PT" w:bidi="pt-PT"/>
    </w:rPr>
  </w:style>
  <w:style w:type="character" w:styleId="ListLabel53">
    <w:name w:val="ListLabel 53"/>
    <w:qFormat/>
    <w:rPr>
      <w:lang w:val="pt-PT" w:eastAsia="pt-PT" w:bidi="pt-PT"/>
    </w:rPr>
  </w:style>
  <w:style w:type="character" w:styleId="ListLabel54">
    <w:name w:val="ListLabel 54"/>
    <w:qFormat/>
    <w:rPr>
      <w:lang w:val="pt-PT" w:eastAsia="pt-PT" w:bidi="pt-PT"/>
    </w:rPr>
  </w:style>
  <w:style w:type="character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styleId="ListLabel56">
    <w:name w:val="ListLabel 56"/>
    <w:qFormat/>
    <w:rPr>
      <w:lang w:val="pt-PT" w:eastAsia="pt-PT" w:bidi="pt-PT"/>
    </w:rPr>
  </w:style>
  <w:style w:type="character" w:styleId="ListLabel57">
    <w:name w:val="ListLabel 57"/>
    <w:qFormat/>
    <w:rPr>
      <w:lang w:val="pt-PT" w:eastAsia="pt-PT" w:bidi="pt-PT"/>
    </w:rPr>
  </w:style>
  <w:style w:type="character" w:styleId="ListLabel58">
    <w:name w:val="ListLabel 58"/>
    <w:qFormat/>
    <w:rPr>
      <w:lang w:val="pt-PT" w:eastAsia="pt-PT" w:bidi="pt-PT"/>
    </w:rPr>
  </w:style>
  <w:style w:type="character" w:styleId="ListLabel59">
    <w:name w:val="ListLabel 59"/>
    <w:qFormat/>
    <w:rPr>
      <w:lang w:val="pt-PT" w:eastAsia="pt-PT" w:bidi="pt-PT"/>
    </w:rPr>
  </w:style>
  <w:style w:type="character" w:styleId="ListLabel60">
    <w:name w:val="ListLabel 60"/>
    <w:qFormat/>
    <w:rPr>
      <w:lang w:val="pt-PT" w:eastAsia="pt-PT" w:bidi="pt-PT"/>
    </w:rPr>
  </w:style>
  <w:style w:type="character" w:styleId="ListLabel61">
    <w:name w:val="ListLabel 61"/>
    <w:qFormat/>
    <w:rPr>
      <w:lang w:val="pt-PT" w:eastAsia="pt-PT" w:bidi="pt-PT"/>
    </w:rPr>
  </w:style>
  <w:style w:type="character" w:styleId="ListLabel62">
    <w:name w:val="ListLabel 62"/>
    <w:qFormat/>
    <w:rPr>
      <w:lang w:val="pt-PT" w:eastAsia="pt-PT" w:bidi="pt-PT"/>
    </w:rPr>
  </w:style>
  <w:style w:type="character" w:styleId="ListLabel63">
    <w:name w:val="ListLabel 63"/>
    <w:qFormat/>
    <w:rPr>
      <w:lang w:val="pt-PT" w:eastAsia="pt-PT" w:bidi="pt-PT"/>
    </w:rPr>
  </w:style>
  <w:style w:type="character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6">
    <w:name w:val="ListLabel 66"/>
    <w:qFormat/>
    <w:rPr>
      <w:lang w:val="pt-PT" w:eastAsia="pt-PT" w:bidi="pt-PT"/>
    </w:rPr>
  </w:style>
  <w:style w:type="character" w:styleId="ListLabel67">
    <w:name w:val="ListLabel 67"/>
    <w:qFormat/>
    <w:rPr>
      <w:lang w:val="pt-PT" w:eastAsia="pt-PT" w:bidi="pt-PT"/>
    </w:rPr>
  </w:style>
  <w:style w:type="character" w:styleId="ListLabel68">
    <w:name w:val="ListLabel 68"/>
    <w:qFormat/>
    <w:rPr>
      <w:lang w:val="pt-PT" w:eastAsia="pt-PT" w:bidi="pt-PT"/>
    </w:rPr>
  </w:style>
  <w:style w:type="character" w:styleId="ListLabel69">
    <w:name w:val="ListLabel 69"/>
    <w:qFormat/>
    <w:rPr>
      <w:lang w:val="pt-PT" w:eastAsia="pt-PT" w:bidi="pt-PT"/>
    </w:rPr>
  </w:style>
  <w:style w:type="character" w:styleId="ListLabel70">
    <w:name w:val="ListLabel 70"/>
    <w:qFormat/>
    <w:rPr>
      <w:lang w:val="pt-PT" w:eastAsia="pt-PT" w:bidi="pt-PT"/>
    </w:rPr>
  </w:style>
  <w:style w:type="character" w:styleId="ListLabel71">
    <w:name w:val="ListLabel 71"/>
    <w:qFormat/>
    <w:rPr>
      <w:lang w:val="pt-PT" w:eastAsia="pt-PT" w:bidi="pt-PT"/>
    </w:rPr>
  </w:style>
  <w:style w:type="character" w:styleId="ListLabel72">
    <w:name w:val="ListLabel 72"/>
    <w:qFormat/>
    <w:rPr>
      <w:lang w:val="pt-PT" w:eastAsia="pt-PT" w:bidi="pt-PT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pPr/>
    <w:rPr>
      <w:sz w:val="24"/>
      <w:szCs w:val="24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35c68"/>
    <w:pPr>
      <w:ind w:left="942" w:firstLine="1132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35c68"/>
    <w:pPr/>
    <w:rPr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Normal1" w:customStyle="1">
    <w:name w:val="Normal1"/>
    <w:qFormat/>
    <w:rsid w:val="00435c68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/>
      <w:color w:val="000000"/>
      <w:sz w:val="22"/>
      <w:szCs w:val="22"/>
      <w:lang w:val="pt-BR" w:eastAsia="zh-CN" w:bidi="ar-SA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="" w:eastAsiaTheme="minorEastAsia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aa376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00000A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aa3766"/>
    <w:pPr>
      <w:spacing w:before="0" w:after="120"/>
    </w:pPr>
    <w:rPr/>
  </w:style>
  <w:style w:type="paragraph" w:styleId="Contedodatabela" w:customStyle="1">
    <w:name w:val="Conteúdo da tabela"/>
    <w:basedOn w:val="Standard"/>
    <w:qFormat/>
    <w:rsid w:val="00aa3766"/>
    <w:pPr>
      <w:suppressLineNumbers/>
    </w:pPr>
    <w:rPr/>
  </w:style>
  <w:style w:type="paragraph" w:styleId="WWCorpodetexto2" w:customStyle="1">
    <w:name w:val="WW-Corpo de texto 2"/>
    <w:basedOn w:val="Normal"/>
    <w:qFormat/>
    <w:rsid w:val="006b374c"/>
    <w:pPr>
      <w:suppressAutoHyphens w:val="true"/>
      <w:overflowPunct w:val="false"/>
      <w:jc w:val="both"/>
    </w:pPr>
    <w:rPr>
      <w:sz w:val="24"/>
      <w:szCs w:val="24"/>
      <w:lang w:val="pt-BR" w:eastAsia="ar-SA" w:bidi="ar-SA"/>
    </w:rPr>
  </w:style>
  <w:style w:type="paragraph" w:styleId="WWCorpodetexto31" w:customStyle="1">
    <w:name w:val="WW-Corpo de texto 31"/>
    <w:basedOn w:val="Normal"/>
    <w:qFormat/>
    <w:rsid w:val="006b374c"/>
    <w:pPr>
      <w:widowControl/>
      <w:suppressAutoHyphens w:val="true"/>
      <w:jc w:val="both"/>
    </w:pPr>
    <w:rPr>
      <w:rFonts w:eastAsia="Calibri"/>
      <w:sz w:val="24"/>
      <w:szCs w:val="24"/>
      <w:lang w:val="pt-BR" w:eastAsia="ar-SA" w:bidi="ar-SA"/>
    </w:rPr>
  </w:style>
  <w:style w:type="paragraph" w:styleId="WWCorpodetexto21" w:customStyle="1">
    <w:name w:val="WW-Corpo de texto 21"/>
    <w:basedOn w:val="Normal"/>
    <w:qFormat/>
    <w:rsid w:val="006b374c"/>
    <w:pPr>
      <w:widowControl/>
      <w:tabs>
        <w:tab w:val="left" w:pos="1701" w:leader="none"/>
      </w:tabs>
      <w:suppressAutoHyphens w:val="true"/>
      <w:spacing w:before="283" w:after="0"/>
      <w:jc w:val="both"/>
    </w:pPr>
    <w:rPr>
      <w:rFonts w:ascii="Arial" w:hAnsi="Arial" w:eastAsia="Calibri" w:cs="Arial"/>
      <w:lang w:val="pt-BR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5c68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LibreOffice/5.2.6.2$Windows_x86 LibreOffice_project/a3100ed2409ebf1c212f5048fbe377c281438fdc</Application>
  <Pages>4</Pages>
  <Words>1557</Words>
  <Characters>9165</Characters>
  <CharactersWithSpaces>10707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2018-05-25T14:10:00Z</dcterms:created>
  <dc:creator>Franklin Torres Brandão</dc:creator>
  <dc:description/>
  <dc:language>pt-BR</dc:language>
  <cp:lastModifiedBy/>
  <cp:lastPrinted>2018-11-23T11:04:23Z</cp:lastPrinted>
  <dcterms:modified xsi:type="dcterms:W3CDTF">2018-11-23T11:05:26Z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