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47" w:rsidRDefault="00F067B4">
      <w:pPr>
        <w:ind w:firstLine="708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TERMO DE REFERÊNCIA</w:t>
      </w:r>
    </w:p>
    <w:p w:rsidR="00123C47" w:rsidRDefault="00F067B4">
      <w:pPr>
        <w:jc w:val="center"/>
      </w:pPr>
      <w:r>
        <w:rPr>
          <w:rFonts w:cs="Arial"/>
          <w:b/>
          <w:bCs/>
          <w:color w:val="000000"/>
          <w:szCs w:val="20"/>
        </w:rPr>
        <w:t xml:space="preserve"> </w:t>
      </w:r>
    </w:p>
    <w:p w:rsidR="00123C47" w:rsidRDefault="00F067B4">
      <w:pPr>
        <w:jc w:val="center"/>
        <w:rPr>
          <w:rFonts w:cs="Arial"/>
          <w:b/>
          <w:bCs/>
          <w:iCs/>
          <w:color w:val="000000"/>
          <w:szCs w:val="20"/>
        </w:rPr>
      </w:pPr>
      <w:r>
        <w:rPr>
          <w:rFonts w:cs="Arial"/>
          <w:b/>
          <w:bCs/>
          <w:iCs/>
          <w:color w:val="000000"/>
          <w:szCs w:val="20"/>
        </w:rPr>
        <w:t>(COMPRAS)</w:t>
      </w:r>
    </w:p>
    <w:p w:rsidR="00123C47" w:rsidRDefault="00123C47">
      <w:pPr>
        <w:spacing w:after="120" w:line="276" w:lineRule="auto"/>
        <w:ind w:right="-15"/>
        <w:jc w:val="center"/>
        <w:rPr>
          <w:rFonts w:cs="Arial"/>
          <w:b/>
          <w:bCs/>
          <w:i/>
          <w:color w:val="FF0000"/>
          <w:szCs w:val="20"/>
        </w:rPr>
      </w:pPr>
    </w:p>
    <w:p w:rsidR="00123C47" w:rsidRDefault="00F067B4">
      <w:pPr>
        <w:spacing w:line="276" w:lineRule="auto"/>
        <w:jc w:val="center"/>
        <w:rPr>
          <w:rFonts w:cs="Arial"/>
          <w:b/>
          <w:bCs/>
          <w:i/>
          <w:color w:val="FF0000"/>
          <w:szCs w:val="20"/>
        </w:rPr>
      </w:pPr>
      <w:r>
        <w:rPr>
          <w:rFonts w:cs="Arial"/>
          <w:b/>
          <w:bCs/>
          <w:i/>
          <w:color w:val="000000"/>
          <w:szCs w:val="20"/>
        </w:rPr>
        <w:t>INSTITUTO FEDERAL DE EDUCAÇÃO, CIÊNCIA E TECNOLOGIA DO SERTÃO PERNAMBUCANO</w:t>
      </w:r>
    </w:p>
    <w:p w:rsidR="00123C47" w:rsidRDefault="00123C47">
      <w:pPr>
        <w:spacing w:line="276" w:lineRule="auto"/>
        <w:jc w:val="center"/>
        <w:rPr>
          <w:rFonts w:cs="Arial"/>
          <w:b/>
          <w:bCs/>
          <w:color w:val="000000"/>
          <w:szCs w:val="20"/>
        </w:rPr>
      </w:pPr>
    </w:p>
    <w:p w:rsidR="00123C47" w:rsidRDefault="00F067B4">
      <w:pPr>
        <w:spacing w:line="276" w:lineRule="auto"/>
        <w:jc w:val="center"/>
      </w:pPr>
      <w:r>
        <w:rPr>
          <w:rFonts w:cs="Arial"/>
          <w:b/>
          <w:bCs/>
          <w:color w:val="000000"/>
          <w:szCs w:val="20"/>
        </w:rPr>
        <w:t>(Processo Administrativo n.° ……... )</w:t>
      </w:r>
    </w:p>
    <w:p w:rsidR="00123C47" w:rsidRDefault="00123C47">
      <w:pPr>
        <w:spacing w:after="120" w:line="276" w:lineRule="auto"/>
        <w:ind w:right="-15"/>
        <w:jc w:val="center"/>
        <w:rPr>
          <w:rFonts w:cs="Arial"/>
          <w:b/>
          <w:bCs/>
          <w:color w:val="000000"/>
          <w:szCs w:val="20"/>
        </w:rPr>
      </w:pPr>
    </w:p>
    <w:p w:rsidR="00123C47" w:rsidRDefault="00F067B4">
      <w:pPr>
        <w:pStyle w:val="Nivel1"/>
        <w:numPr>
          <w:ilvl w:val="0"/>
          <w:numId w:val="1"/>
        </w:numPr>
        <w:ind w:left="357" w:hanging="357"/>
        <w:rPr>
          <w:color w:val="00000A"/>
        </w:rPr>
      </w:pPr>
      <w:r>
        <w:t>DO OBJETO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i/>
          <w:szCs w:val="20"/>
        </w:rPr>
      </w:pPr>
      <w:r>
        <w:rPr>
          <w:rFonts w:cs="Arial"/>
          <w:i/>
          <w:szCs w:val="20"/>
        </w:rPr>
        <w:t>Aquisição de 20 (VINTE) aparelhos de detecção de metal</w:t>
      </w:r>
      <w:r>
        <w:rPr>
          <w:rFonts w:cs="Arial"/>
          <w:b/>
          <w:i/>
          <w:szCs w:val="20"/>
        </w:rPr>
        <w:t>,</w:t>
      </w:r>
      <w:r>
        <w:rPr>
          <w:rFonts w:cs="Arial"/>
          <w:i/>
          <w:szCs w:val="20"/>
        </w:rPr>
        <w:t xml:space="preserve"> conforme condições, quantidades e exigências estabelecidas neste instrumento:</w:t>
      </w:r>
    </w:p>
    <w:tbl>
      <w:tblPr>
        <w:tblW w:w="9123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8"/>
        <w:gridCol w:w="3942"/>
        <w:gridCol w:w="1759"/>
        <w:gridCol w:w="1364"/>
        <w:gridCol w:w="1350"/>
      </w:tblGrid>
      <w:tr w:rsidR="00123C47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23C47" w:rsidRDefault="00F067B4">
            <w:pPr>
              <w:widowControl w:val="0"/>
              <w:suppressAutoHyphens/>
              <w:jc w:val="center"/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ITEM</w:t>
            </w:r>
          </w:p>
          <w:p w:rsidR="00123C47" w:rsidRDefault="00123C47">
            <w:pPr>
              <w:widowControl w:val="0"/>
              <w:suppressAutoHyphens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23C47" w:rsidRDefault="00F067B4">
            <w:pPr>
              <w:jc w:val="center"/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DESCRIÇÃO/</w:t>
            </w:r>
          </w:p>
          <w:p w:rsidR="00123C47" w:rsidRDefault="00F067B4">
            <w:pPr>
              <w:widowControl w:val="0"/>
              <w:suppressAutoHyphens/>
              <w:jc w:val="center"/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ESPECIFICAÇÃO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23C47" w:rsidRDefault="00F067B4">
            <w:pPr>
              <w:widowControl w:val="0"/>
              <w:suppressAutoHyphens/>
              <w:jc w:val="center"/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UNIDADE DE MEDIDA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23C47" w:rsidRDefault="00F067B4">
            <w:pPr>
              <w:widowControl w:val="0"/>
              <w:suppressAutoHyphens/>
              <w:jc w:val="center"/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QUANTIDADE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23C47" w:rsidRDefault="00F067B4">
            <w:pPr>
              <w:widowControl w:val="0"/>
              <w:suppressAutoHyphens/>
              <w:jc w:val="center"/>
            </w:pPr>
            <w:r>
              <w:rPr>
                <w:rFonts w:cs="Arial"/>
                <w:b/>
                <w:bCs/>
                <w:i/>
                <w:sz w:val="14"/>
                <w:szCs w:val="14"/>
              </w:rPr>
              <w:t>VALOR</w:t>
            </w:r>
          </w:p>
          <w:p w:rsidR="00123C47" w:rsidRDefault="00F067B4">
            <w:pPr>
              <w:widowControl w:val="0"/>
              <w:suppressAutoHyphens/>
              <w:jc w:val="center"/>
            </w:pPr>
            <w:r>
              <w:rPr>
                <w:rFonts w:cs="Arial"/>
                <w:b/>
                <w:bCs/>
                <w:i/>
                <w:sz w:val="14"/>
                <w:szCs w:val="14"/>
              </w:rPr>
              <w:t>MÁXIMO</w:t>
            </w:r>
          </w:p>
          <w:p w:rsidR="00123C47" w:rsidRDefault="00F067B4">
            <w:pPr>
              <w:widowControl w:val="0"/>
              <w:suppressAutoHyphens/>
              <w:jc w:val="center"/>
            </w:pPr>
            <w:r>
              <w:rPr>
                <w:rFonts w:cs="Arial"/>
                <w:b/>
                <w:bCs/>
                <w:i/>
                <w:sz w:val="14"/>
                <w:szCs w:val="14"/>
              </w:rPr>
              <w:t>ACEITÁVEL</w:t>
            </w:r>
          </w:p>
        </w:tc>
      </w:tr>
      <w:tr w:rsidR="00123C47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23C47" w:rsidRDefault="00123C47">
            <w:pPr>
              <w:widowControl w:val="0"/>
              <w:suppressAutoHyphens/>
              <w:spacing w:after="120" w:line="276" w:lineRule="auto"/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:rsidR="00123C47" w:rsidRDefault="00F067B4">
            <w:pPr>
              <w:widowControl w:val="0"/>
              <w:suppressAutoHyphens/>
              <w:spacing w:after="120" w:line="276" w:lineRule="auto"/>
              <w:jc w:val="center"/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23C47" w:rsidRDefault="00F067B4">
            <w:pPr>
              <w:widowControl w:val="0"/>
              <w:suppressAutoHyphens/>
              <w:spacing w:after="120" w:line="276" w:lineRule="auto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DETECTOR METAIS, FORMATO BASTÃO, TIPO ALARME VISUAL E SONORO, ACOMPANHADO DE </w:t>
            </w:r>
            <w:r>
              <w:rPr>
                <w:rFonts w:cs="Arial"/>
                <w:color w:val="000000"/>
                <w:sz w:val="16"/>
                <w:szCs w:val="16"/>
              </w:rPr>
              <w:t>BATERIA RECARREGÁVEL, CAPA PLÁSTICA E FONE DE OUVIDO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23C47" w:rsidRDefault="00123C47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123C47" w:rsidRDefault="00123C47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123C47" w:rsidRDefault="00F067B4">
            <w:pPr>
              <w:widowControl w:val="0"/>
              <w:suppressAutoHyphens/>
              <w:spacing w:after="120" w:line="276" w:lineRule="auto"/>
            </w:pPr>
            <w:r>
              <w:rPr>
                <w:rFonts w:cs="Arial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23C47" w:rsidRDefault="00123C47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123C47" w:rsidRDefault="00123C47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123C47" w:rsidRDefault="00F067B4">
            <w:pPr>
              <w:widowControl w:val="0"/>
              <w:suppressAutoHyphens/>
              <w:spacing w:after="120" w:line="276" w:lineRule="auto"/>
            </w:pPr>
            <w:r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23C47" w:rsidRDefault="00123C47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123C47" w:rsidRDefault="00123C47">
            <w:pPr>
              <w:widowControl w:val="0"/>
              <w:suppressAutoHyphens/>
              <w:spacing w:after="120" w:line="276" w:lineRule="auto"/>
              <w:rPr>
                <w:rFonts w:cs="Arial"/>
                <w:color w:val="000000"/>
                <w:sz w:val="16"/>
                <w:szCs w:val="16"/>
              </w:rPr>
            </w:pPr>
          </w:p>
          <w:p w:rsidR="00123C47" w:rsidRDefault="00F067B4">
            <w:pPr>
              <w:widowControl w:val="0"/>
              <w:suppressAutoHyphens/>
              <w:spacing w:after="120" w:line="276" w:lineRule="auto"/>
            </w:pPr>
            <w:r>
              <w:rPr>
                <w:rFonts w:cs="Arial"/>
                <w:color w:val="000000"/>
                <w:sz w:val="16"/>
                <w:szCs w:val="16"/>
              </w:rPr>
              <w:t>150,00</w:t>
            </w:r>
          </w:p>
        </w:tc>
      </w:tr>
    </w:tbl>
    <w:p w:rsidR="00123C47" w:rsidRDefault="00123C47">
      <w:pPr>
        <w:spacing w:after="120" w:line="276" w:lineRule="auto"/>
        <w:jc w:val="both"/>
        <w:rPr>
          <w:rFonts w:cs="Arial"/>
          <w:b/>
          <w:color w:val="000000"/>
          <w:szCs w:val="20"/>
        </w:rPr>
      </w:pPr>
    </w:p>
    <w:p w:rsidR="00123C47" w:rsidRPr="007132E2" w:rsidRDefault="00F067B4" w:rsidP="007132E2">
      <w:pPr>
        <w:spacing w:before="120" w:after="120" w:line="276" w:lineRule="auto"/>
        <w:ind w:left="357"/>
        <w:jc w:val="both"/>
        <w:rPr>
          <w:highlight w:val="yellow"/>
        </w:rPr>
      </w:pPr>
      <w:r w:rsidRPr="007132E2">
        <w:rPr>
          <w:rFonts w:eastAsia="Arial" w:cs="Arial"/>
          <w:b/>
          <w:bCs/>
          <w:color w:val="000000"/>
          <w:szCs w:val="20"/>
        </w:rPr>
        <w:t xml:space="preserve">1.2 </w:t>
      </w:r>
      <w:r w:rsidRPr="007132E2">
        <w:rPr>
          <w:rFonts w:eastAsia="Arial" w:cs="Arial"/>
          <w:color w:val="000000"/>
          <w:szCs w:val="20"/>
        </w:rPr>
        <w:t xml:space="preserve">O prazo de vigência da contratação deve ficar adstrito à vigência dos respectivos créditos orçamentários, nos termos do artigo 57, caput, da Lei </w:t>
      </w:r>
      <w:r w:rsidRPr="007132E2">
        <w:rPr>
          <w:rFonts w:eastAsia="Arial" w:cs="Arial"/>
          <w:color w:val="000000"/>
          <w:szCs w:val="20"/>
        </w:rPr>
        <w:t>n° 8.666, de 1993.</w:t>
      </w:r>
    </w:p>
    <w:p w:rsidR="00123C47" w:rsidRDefault="00F067B4">
      <w:pPr>
        <w:pStyle w:val="Nivel1"/>
        <w:numPr>
          <w:ilvl w:val="0"/>
          <w:numId w:val="1"/>
        </w:numPr>
        <w:ind w:left="357" w:hanging="357"/>
      </w:pPr>
      <w:r>
        <w:t>J</w:t>
      </w:r>
      <w:r>
        <w:t>USTIFICATIVA E OBJETIVO DA CONTRATAÇÃO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jc w:val="both"/>
      </w:pPr>
      <w:r>
        <w:rPr>
          <w:rFonts w:cs="Arial"/>
          <w:color w:val="000000"/>
          <w:szCs w:val="20"/>
        </w:rPr>
        <w:t>Justifica-se a necessidade de aquisição de 20 (vinte) detectores de metais para utilização em concursos públicos da instituição.</w:t>
      </w:r>
    </w:p>
    <w:p w:rsidR="00123C47" w:rsidRDefault="00F067B4">
      <w:pPr>
        <w:spacing w:before="120" w:after="120" w:line="276" w:lineRule="auto"/>
        <w:ind w:left="716"/>
        <w:jc w:val="both"/>
        <w:rPr>
          <w:rFonts w:cs="Arial"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2.2 </w:t>
      </w:r>
      <w:r>
        <w:rPr>
          <w:rFonts w:cs="Arial"/>
          <w:color w:val="000000"/>
          <w:szCs w:val="20"/>
        </w:rPr>
        <w:t xml:space="preserve">Atualmente está prevista a realização de dois certames no mês </w:t>
      </w:r>
      <w:r>
        <w:rPr>
          <w:rFonts w:cs="Arial"/>
          <w:color w:val="000000"/>
          <w:szCs w:val="20"/>
        </w:rPr>
        <w:t>de agosto de 2019, a aquisição de aparelhos de detecção de metal auxilia na identificação de eventuais fraudes garantindo, assim, a lisura do processo.</w:t>
      </w:r>
    </w:p>
    <w:p w:rsidR="00123C47" w:rsidRDefault="00F067B4">
      <w:pPr>
        <w:spacing w:before="120" w:after="120" w:line="276" w:lineRule="auto"/>
        <w:ind w:left="716"/>
        <w:jc w:val="both"/>
        <w:rPr>
          <w:rFonts w:cs="Arial"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2.3</w:t>
      </w:r>
      <w:r>
        <w:rPr>
          <w:rFonts w:cs="Arial"/>
          <w:color w:val="000000"/>
          <w:szCs w:val="20"/>
        </w:rPr>
        <w:t xml:space="preserve"> Contudo, considerando a autonomia dada pelos Decretos 7311/12 e 7312/12 que permitem a instituição, </w:t>
      </w:r>
      <w:r>
        <w:rPr>
          <w:rFonts w:cs="Arial"/>
          <w:color w:val="000000"/>
          <w:szCs w:val="20"/>
        </w:rPr>
        <w:t>na existência de vagas, organizar seus próprios concursos públicos, percebe-se necessidade de aquisição de aparelhos que serão utilizados durante a realização de tais processos.</w:t>
      </w:r>
    </w:p>
    <w:p w:rsidR="00123C47" w:rsidRDefault="00F067B4">
      <w:pPr>
        <w:spacing w:before="120" w:after="120" w:line="276" w:lineRule="auto"/>
        <w:ind w:left="716"/>
        <w:jc w:val="both"/>
        <w:rPr>
          <w:rFonts w:cs="Arial"/>
          <w:szCs w:val="20"/>
        </w:rPr>
      </w:pPr>
      <w:r>
        <w:rPr>
          <w:rFonts w:cs="Arial"/>
          <w:b/>
          <w:bCs/>
          <w:color w:val="000000"/>
          <w:szCs w:val="20"/>
        </w:rPr>
        <w:t>2.4</w:t>
      </w:r>
      <w:r>
        <w:rPr>
          <w:rFonts w:cs="Arial"/>
          <w:color w:val="000000"/>
          <w:szCs w:val="20"/>
        </w:rPr>
        <w:t xml:space="preserve"> </w:t>
      </w:r>
      <w:bookmarkStart w:id="0" w:name="_Hlk12863685"/>
      <w:bookmarkEnd w:id="0"/>
      <w:r>
        <w:rPr>
          <w:rFonts w:cs="Arial"/>
          <w:color w:val="000000"/>
          <w:szCs w:val="20"/>
        </w:rPr>
        <w:t>A demanda de aquisição de vinte aparelhos está baseada na estimativa de in</w:t>
      </w:r>
      <w:r>
        <w:rPr>
          <w:rFonts w:cs="Arial"/>
          <w:color w:val="000000"/>
          <w:szCs w:val="20"/>
        </w:rPr>
        <w:t>scritos em certames anteriores (cerca de quatro mil inscritos, por certame), e disposição de fiscais em entradas e direcionamentos para banheiros.</w:t>
      </w:r>
    </w:p>
    <w:p w:rsidR="00123C47" w:rsidRDefault="00F067B4">
      <w:pPr>
        <w:pStyle w:val="Nivel1"/>
        <w:numPr>
          <w:ilvl w:val="0"/>
          <w:numId w:val="1"/>
        </w:numPr>
        <w:ind w:left="357" w:hanging="357"/>
      </w:pPr>
      <w:r>
        <w:t>CLASSIFICAÇÃO DOS BENS COMUNS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</w:rPr>
      </w:pPr>
      <w:r>
        <w:rPr>
          <w:rFonts w:cs="Arial"/>
          <w:bCs/>
          <w:color w:val="000000"/>
          <w:szCs w:val="20"/>
        </w:rPr>
        <w:t>A natureza do objeto a ser contratado é comum nos termos do parágrafo único, do</w:t>
      </w:r>
      <w:r>
        <w:rPr>
          <w:rFonts w:cs="Arial"/>
          <w:bCs/>
          <w:color w:val="000000"/>
          <w:szCs w:val="20"/>
        </w:rPr>
        <w:t xml:space="preserve"> art. 1°, da Lei 10.520, de 2002. </w:t>
      </w:r>
    </w:p>
    <w:p w:rsidR="00123C47" w:rsidRDefault="00F067B4">
      <w:pPr>
        <w:pStyle w:val="Nivel1"/>
        <w:numPr>
          <w:ilvl w:val="0"/>
          <w:numId w:val="1"/>
        </w:numPr>
        <w:ind w:left="357" w:hanging="357"/>
      </w:pPr>
      <w:r>
        <w:lastRenderedPageBreak/>
        <w:t>ENTREGA E CRITÉRIOS DE ACEITAÇÃO DO OBJETO.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</w:pPr>
      <w:r>
        <w:rPr>
          <w:rFonts w:cs="Arial"/>
          <w:iCs/>
          <w:color w:val="000000"/>
          <w:szCs w:val="20"/>
        </w:rPr>
        <w:t xml:space="preserve">O prazo de entrega dos bens é de </w:t>
      </w:r>
      <w:r>
        <w:rPr>
          <w:rFonts w:cs="Arial"/>
          <w:b/>
          <w:bCs/>
          <w:iCs/>
          <w:color w:val="000000"/>
          <w:szCs w:val="20"/>
        </w:rPr>
        <w:t>20 (vinte)</w:t>
      </w:r>
      <w:r>
        <w:rPr>
          <w:rFonts w:cs="Arial"/>
          <w:b/>
          <w:bCs/>
          <w:iCs/>
          <w:color w:val="FF0000"/>
          <w:szCs w:val="20"/>
        </w:rPr>
        <w:t xml:space="preserve"> </w:t>
      </w:r>
      <w:r>
        <w:rPr>
          <w:rFonts w:cs="Arial"/>
          <w:b/>
          <w:bCs/>
          <w:iCs/>
          <w:color w:val="000000"/>
          <w:szCs w:val="20"/>
        </w:rPr>
        <w:t>dias</w:t>
      </w:r>
      <w:r>
        <w:rPr>
          <w:rFonts w:cs="Arial"/>
          <w:iCs/>
          <w:color w:val="000000"/>
          <w:szCs w:val="20"/>
        </w:rPr>
        <w:t xml:space="preserve">, contados </w:t>
      </w:r>
      <w:r>
        <w:rPr>
          <w:rFonts w:cs="Arial"/>
          <w:b/>
          <w:bCs/>
          <w:iCs/>
          <w:color w:val="000000"/>
          <w:szCs w:val="20"/>
        </w:rPr>
        <w:t>do recebimento da Nota de Empenho ou ordem de fornecimento em remessa única</w:t>
      </w:r>
      <w:r>
        <w:rPr>
          <w:rFonts w:cs="Arial"/>
          <w:bCs/>
          <w:iCs/>
          <w:color w:val="000000"/>
          <w:szCs w:val="20"/>
        </w:rPr>
        <w:t xml:space="preserve">, </w:t>
      </w:r>
      <w:r>
        <w:rPr>
          <w:rFonts w:cs="Arial"/>
          <w:iCs/>
          <w:szCs w:val="20"/>
        </w:rPr>
        <w:t xml:space="preserve">no seguinte endereço: </w:t>
      </w:r>
      <w:r>
        <w:rPr>
          <w:rFonts w:cs="Arial"/>
          <w:b/>
          <w:bCs/>
          <w:iCs/>
          <w:szCs w:val="20"/>
        </w:rPr>
        <w:t>Rua Aristarco Lopes, nº 240, Centro – Petrolina/PE CEP: 56302-100 – Sala da DGP.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 bens serão recebidos provisoriamente no prazo de 05 </w:t>
      </w:r>
      <w:r>
        <w:rPr>
          <w:rFonts w:cs="Arial"/>
          <w:szCs w:val="20"/>
        </w:rPr>
        <w:t>(cinco)</w:t>
      </w:r>
      <w:r>
        <w:rPr>
          <w:rFonts w:cs="Arial"/>
          <w:color w:val="000000"/>
          <w:szCs w:val="20"/>
        </w:rPr>
        <w:t xml:space="preserve"> dias, pelo(a) </w:t>
      </w:r>
      <w:r>
        <w:rPr>
          <w:rFonts w:cs="Arial"/>
          <w:iCs/>
          <w:color w:val="000000"/>
          <w:szCs w:val="20"/>
        </w:rPr>
        <w:t>responsável</w:t>
      </w:r>
      <w:r>
        <w:rPr>
          <w:rFonts w:cs="Arial"/>
          <w:color w:val="000000"/>
          <w:szCs w:val="20"/>
        </w:rPr>
        <w:t xml:space="preserve"> pelo acompanhamento e fiscalização do contrato, para efeito de posterior verificação de sua conformidade com as especificações constantes neste Termo de Referência e na proposta. 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Cs/>
          <w:color w:val="000000"/>
          <w:szCs w:val="20"/>
        </w:rPr>
      </w:pPr>
      <w:r>
        <w:rPr>
          <w:rFonts w:cs="Arial"/>
          <w:bCs/>
          <w:color w:val="000000"/>
          <w:szCs w:val="20"/>
        </w:rPr>
        <w:t>Os bens poderão ser rejeitados, no todo ou em parte, quando em desacordo co</w:t>
      </w:r>
      <w:r>
        <w:rPr>
          <w:rFonts w:cs="Arial"/>
          <w:bCs/>
          <w:color w:val="000000"/>
          <w:szCs w:val="20"/>
        </w:rPr>
        <w:t>m as especificações constantes neste Termo de Referência e na proposta, devendo ser substituídos no prazo de 05</w:t>
      </w:r>
      <w:r>
        <w:rPr>
          <w:rFonts w:cs="Arial"/>
          <w:bCs/>
          <w:color w:val="FF0000"/>
          <w:szCs w:val="20"/>
        </w:rPr>
        <w:t xml:space="preserve"> </w:t>
      </w:r>
      <w:r>
        <w:rPr>
          <w:rFonts w:cs="Arial"/>
          <w:bCs/>
          <w:szCs w:val="20"/>
        </w:rPr>
        <w:t>(cinco)</w:t>
      </w:r>
      <w:r>
        <w:rPr>
          <w:rFonts w:cs="Arial"/>
          <w:bCs/>
          <w:color w:val="000000"/>
          <w:szCs w:val="20"/>
        </w:rPr>
        <w:t xml:space="preserve"> dias, a contar da notificação da contratada, às suas custas, sem prejuízo da aplicação das penalidades.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Cs/>
          <w:color w:val="000000"/>
          <w:szCs w:val="20"/>
        </w:rPr>
      </w:pPr>
      <w:r>
        <w:rPr>
          <w:rFonts w:cs="Arial"/>
          <w:color w:val="000000"/>
          <w:szCs w:val="20"/>
        </w:rPr>
        <w:t>Os bens serão recebidos definiti</w:t>
      </w:r>
      <w:r>
        <w:rPr>
          <w:rFonts w:cs="Arial"/>
          <w:color w:val="000000"/>
          <w:szCs w:val="20"/>
        </w:rPr>
        <w:t xml:space="preserve">vamente no prazo de 05 </w:t>
      </w:r>
      <w:r>
        <w:rPr>
          <w:rFonts w:cs="Arial"/>
          <w:szCs w:val="20"/>
        </w:rPr>
        <w:t>(cinco)</w:t>
      </w:r>
      <w:r>
        <w:rPr>
          <w:rFonts w:cs="Arial"/>
          <w:color w:val="000000"/>
          <w:szCs w:val="20"/>
        </w:rPr>
        <w:t xml:space="preserve"> dias, contados do recebimento provisório, após a verificação da qualidade e quantidade do material e consequente aceitação mediante termo circunstanciado.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bCs/>
          <w:color w:val="000000"/>
          <w:szCs w:val="20"/>
        </w:rPr>
      </w:pPr>
      <w:r>
        <w:rPr>
          <w:rFonts w:cs="Arial"/>
          <w:color w:val="000000"/>
          <w:szCs w:val="20"/>
          <w:lang w:eastAsia="en-US"/>
        </w:rPr>
        <w:t>Na hipótese de a verificação a que se refere o subitem anterior não se</w:t>
      </w:r>
      <w:r>
        <w:rPr>
          <w:rFonts w:cs="Arial"/>
          <w:color w:val="000000"/>
          <w:szCs w:val="20"/>
          <w:lang w:eastAsia="en-US"/>
        </w:rPr>
        <w:t>r procedida dentro do prazo fixado, reputar-se-á como realizada, consumando-se o recebimento definitivo no dia do esgotamento do prazo.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lang w:eastAsia="en-US"/>
        </w:rPr>
        <w:t>O recebimento provisório ou definitivo do objeto não exclui a responsabilidade da contratada pelos prejuízos resultantes</w:t>
      </w:r>
      <w:r>
        <w:rPr>
          <w:rFonts w:cs="Arial"/>
          <w:color w:val="000000"/>
          <w:szCs w:val="20"/>
          <w:lang w:eastAsia="en-US"/>
        </w:rPr>
        <w:t xml:space="preserve"> da incorreta execução do contrato.</w:t>
      </w:r>
    </w:p>
    <w:p w:rsidR="00123C47" w:rsidRDefault="00F067B4">
      <w:pPr>
        <w:pStyle w:val="Nivel1"/>
        <w:numPr>
          <w:ilvl w:val="0"/>
          <w:numId w:val="1"/>
        </w:numPr>
        <w:ind w:left="357" w:hanging="357"/>
      </w:pPr>
      <w:r>
        <w:rPr>
          <w:lang w:eastAsia="en-US"/>
        </w:rPr>
        <w:t>OBRIGAÇÕES DA CONTRATANTE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color w:val="000000"/>
          <w:szCs w:val="20"/>
        </w:rPr>
      </w:pPr>
      <w:r>
        <w:rPr>
          <w:rFonts w:cs="Arial"/>
          <w:szCs w:val="20"/>
        </w:rPr>
        <w:t>São obrigações da Contratante: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Cs w:val="20"/>
        </w:rPr>
      </w:pPr>
      <w:r>
        <w:rPr>
          <w:rFonts w:cs="Arial"/>
          <w:szCs w:val="20"/>
        </w:rPr>
        <w:t>receber o objeto no prazo e condições estabelecidas no Edital e seus anexos;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Cs w:val="20"/>
        </w:rPr>
      </w:pPr>
      <w:r>
        <w:rPr>
          <w:rFonts w:cs="Arial"/>
          <w:szCs w:val="20"/>
          <w:lang w:eastAsia="en-US"/>
        </w:rPr>
        <w:t>verificar minuciosamente, no prazo fixado, a conformidade dos bens recebidos provisori</w:t>
      </w:r>
      <w:r>
        <w:rPr>
          <w:rFonts w:cs="Arial"/>
          <w:szCs w:val="20"/>
          <w:lang w:eastAsia="en-US"/>
        </w:rPr>
        <w:t>amente com as especificações constantes do Edital e da proposta, para fins de aceitação e recebimento definitivo;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Cs w:val="20"/>
        </w:rPr>
      </w:pPr>
      <w:r>
        <w:rPr>
          <w:rFonts w:cs="Arial"/>
          <w:szCs w:val="20"/>
        </w:rPr>
        <w:t>comunicar à Contratada, por escrito, sobre imperfeições, falhas ou irregularidades verificadas no objeto fornecido, para que seja substituído,</w:t>
      </w:r>
      <w:r>
        <w:rPr>
          <w:rFonts w:cs="Arial"/>
          <w:szCs w:val="20"/>
        </w:rPr>
        <w:t xml:space="preserve"> reparado ou corrigido;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Cs w:val="20"/>
        </w:rPr>
      </w:pPr>
      <w:r>
        <w:rPr>
          <w:rFonts w:cs="Arial"/>
          <w:szCs w:val="20"/>
          <w:lang w:eastAsia="en-US"/>
        </w:rPr>
        <w:t>acompanhar e fiscalizar o cumprimento das obrigações da Contratada, através de comissão/servidor especialmente designado;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Cs w:val="20"/>
        </w:rPr>
      </w:pPr>
      <w:r>
        <w:rPr>
          <w:rFonts w:cs="Arial"/>
          <w:szCs w:val="20"/>
        </w:rPr>
        <w:t>efetuar o pagamento à Contratada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no valor correspondente ao fornecimento do objeto, no prazo e forma estabelec</w:t>
      </w:r>
      <w:r>
        <w:rPr>
          <w:rFonts w:cs="Arial"/>
          <w:szCs w:val="20"/>
        </w:rPr>
        <w:t>idos no Edital e seus anexos;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color w:val="000000"/>
          <w:szCs w:val="20"/>
        </w:rPr>
      </w:pPr>
      <w:r>
        <w:rPr>
          <w:rFonts w:cs="Arial"/>
          <w:szCs w:val="20"/>
        </w:rPr>
        <w:t>A Administração não responderá por quaisquer compromissos assumidos pela Contratada com terceiros, ainda que vinculados à execução do presente Termo de Contrato, bem como por qualquer dano causado a terceiros em decorrência de</w:t>
      </w:r>
      <w:r>
        <w:rPr>
          <w:rFonts w:cs="Arial"/>
          <w:szCs w:val="20"/>
        </w:rPr>
        <w:t xml:space="preserve"> ato da Contratada, de seus empregados, prepostos ou subordinados.</w:t>
      </w:r>
    </w:p>
    <w:p w:rsidR="00123C47" w:rsidRDefault="00F067B4">
      <w:pPr>
        <w:pStyle w:val="Nivel1"/>
        <w:numPr>
          <w:ilvl w:val="0"/>
          <w:numId w:val="1"/>
        </w:numPr>
        <w:ind w:left="357" w:hanging="357"/>
      </w:pPr>
      <w:r>
        <w:lastRenderedPageBreak/>
        <w:t>OBRIGAÇÕES DA CONTRATADA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/>
          <w:color w:val="000000"/>
          <w:szCs w:val="20"/>
        </w:rPr>
      </w:pPr>
      <w:r>
        <w:rPr>
          <w:rFonts w:cs="Arial"/>
          <w:szCs w:val="20"/>
        </w:rPr>
        <w:t>A Contratada deve cumprir todas as obrigações constantes no Edital, seus anexos e sua proposta, assumindo como exclusivamente seus os riscos e as despesas decorrent</w:t>
      </w:r>
      <w:r>
        <w:rPr>
          <w:rFonts w:cs="Arial"/>
          <w:szCs w:val="20"/>
        </w:rPr>
        <w:t>es da boa e perfeita execução do objeto e, ainda: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color w:val="000000"/>
          <w:szCs w:val="20"/>
        </w:rPr>
      </w:pPr>
      <w:r>
        <w:rPr>
          <w:rFonts w:cs="Arial"/>
          <w:szCs w:val="20"/>
        </w:rPr>
        <w:t>efetuar a entrega do objeto em perfeitas condições, conforme especificações, prazo e local constantes no Termo de Referência e seus anexos, acompanhado da respectiva nota fiscal, na qual constarão as indica</w:t>
      </w:r>
      <w:r>
        <w:rPr>
          <w:rFonts w:cs="Arial"/>
          <w:szCs w:val="20"/>
        </w:rPr>
        <w:t xml:space="preserve">ções referentes a: </w:t>
      </w:r>
      <w:r>
        <w:rPr>
          <w:rFonts w:cs="Arial"/>
          <w:i/>
          <w:szCs w:val="20"/>
        </w:rPr>
        <w:t>marca, fabricante, modelo, procedência e prazo de garantia ou validade;</w:t>
      </w:r>
    </w:p>
    <w:p w:rsidR="00123C47" w:rsidRDefault="00F067B4">
      <w:pPr>
        <w:numPr>
          <w:ilvl w:val="3"/>
          <w:numId w:val="1"/>
        </w:numPr>
        <w:spacing w:before="120" w:after="120" w:line="276" w:lineRule="auto"/>
        <w:ind w:left="1701" w:firstLine="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O</w:t>
      </w:r>
      <w:r>
        <w:rPr>
          <w:rFonts w:cs="Arial"/>
          <w:i/>
          <w:szCs w:val="20"/>
        </w:rPr>
        <w:t xml:space="preserve"> objeto deve estar acompanhado do manual do usuário, com uma </w:t>
      </w:r>
      <w:r>
        <w:rPr>
          <w:rFonts w:cs="Arial"/>
          <w:bCs/>
          <w:i/>
          <w:iCs/>
          <w:szCs w:val="20"/>
          <w:lang w:eastAsia="en-US"/>
        </w:rPr>
        <w:t>versão</w:t>
      </w:r>
      <w:r>
        <w:rPr>
          <w:rFonts w:cs="Arial"/>
          <w:i/>
          <w:szCs w:val="20"/>
        </w:rPr>
        <w:t xml:space="preserve"> em português e da relação da rede de assistência técnica autorizada;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responsabilizar-se pelos vícios e danos decorrentes do objeto, de acordo com os artigos 12, 13 e 17 a 27, do Código de Defesa do Consumidor (Lei nº 8.078, de 1990);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substituir, reparar o</w:t>
      </w:r>
      <w:r>
        <w:rPr>
          <w:rFonts w:cs="Arial"/>
          <w:szCs w:val="20"/>
        </w:rPr>
        <w:t>u corrigir, às suas expensas, no prazo fixado neste Termo de Referência, o objeto com avarias ou defeitos;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comunicar à Contratante, no prazo máximo de 24 (vinte e quatro) horas que antecede a data da entrega, os motivos que impossibilitem o </w:t>
      </w:r>
      <w:r>
        <w:rPr>
          <w:rFonts w:cs="Arial"/>
          <w:szCs w:val="20"/>
        </w:rPr>
        <w:t>cumprimento do prazo previsto, com a devida comprovação;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manter, durante toda a execução do contrato, em compatibilidade com as obrigações assumidas, todas as condições de habilitação e qualificação exigidas na licitação;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indicar preposto para representá-l</w:t>
      </w:r>
      <w:r>
        <w:rPr>
          <w:rFonts w:cs="Arial"/>
          <w:szCs w:val="20"/>
        </w:rPr>
        <w:t>a durante a execução do contrato.</w:t>
      </w:r>
    </w:p>
    <w:p w:rsidR="00123C47" w:rsidRDefault="00F067B4">
      <w:pPr>
        <w:pStyle w:val="Nivel1"/>
        <w:numPr>
          <w:ilvl w:val="0"/>
          <w:numId w:val="1"/>
        </w:numPr>
        <w:ind w:left="357" w:hanging="357"/>
      </w:pPr>
      <w:r>
        <w:t>DA SUBCONTRATAÇÃO</w:t>
      </w:r>
    </w:p>
    <w:p w:rsidR="00123C47" w:rsidRDefault="00F067B4">
      <w:pPr>
        <w:spacing w:before="120" w:after="120" w:line="276" w:lineRule="auto"/>
        <w:ind w:left="425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7.1 Não será admitida a subcontratação do objeto licitatório.</w:t>
      </w:r>
    </w:p>
    <w:p w:rsidR="00123C47" w:rsidRDefault="00F067B4">
      <w:pPr>
        <w:pStyle w:val="Nivel1"/>
        <w:numPr>
          <w:ilvl w:val="0"/>
          <w:numId w:val="1"/>
        </w:numPr>
        <w:ind w:left="357" w:hanging="357"/>
        <w:rPr>
          <w:lang w:eastAsia="en-US"/>
        </w:rPr>
      </w:pPr>
      <w:r>
        <w:rPr>
          <w:lang w:eastAsia="en-US"/>
        </w:rPr>
        <w:t>DA ALTERAÇÃO SUBJETIVA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FF"/>
          <w:szCs w:val="20"/>
          <w:lang w:eastAsia="en-US"/>
        </w:rPr>
      </w:pPr>
      <w:r>
        <w:rPr>
          <w:rFonts w:cs="Arial"/>
          <w:szCs w:val="20"/>
          <w:lang w:eastAsia="en-US"/>
        </w:rPr>
        <w:t>É admissível a fusão, cisão ou incorporação da contratada com/em outra pessoa jurídica, desde que sejam observados pela</w:t>
      </w:r>
      <w:r>
        <w:rPr>
          <w:rFonts w:cs="Arial"/>
          <w:szCs w:val="20"/>
          <w:lang w:eastAsia="en-US"/>
        </w:rPr>
        <w:t xml:space="preserve"> nova pessoa jurídica todos os requisitos de habilitação exigidos na licitação original; sejam mantidas as demais cláusulas e condições do contrato; não haja prejuízo à execução do objeto pactuado e haja a anuência expressa da Administração à continuidade </w:t>
      </w:r>
      <w:r>
        <w:rPr>
          <w:rFonts w:cs="Arial"/>
          <w:szCs w:val="20"/>
          <w:lang w:eastAsia="en-US"/>
        </w:rPr>
        <w:t>do contrato.</w:t>
      </w:r>
    </w:p>
    <w:p w:rsidR="00123C47" w:rsidRDefault="00F067B4">
      <w:pPr>
        <w:pStyle w:val="Nivel1"/>
        <w:numPr>
          <w:ilvl w:val="0"/>
          <w:numId w:val="1"/>
        </w:numPr>
        <w:ind w:left="357" w:hanging="357"/>
        <w:rPr>
          <w:lang w:eastAsia="en-US"/>
        </w:rPr>
      </w:pPr>
      <w:r>
        <w:rPr>
          <w:lang w:eastAsia="en-US"/>
        </w:rPr>
        <w:t xml:space="preserve">DO CONTROLE </w:t>
      </w:r>
      <w:r>
        <w:rPr>
          <w:color w:val="00000A"/>
          <w:lang w:eastAsia="en-US"/>
        </w:rPr>
        <w:t xml:space="preserve">E FISCALIZAÇÃO DA </w:t>
      </w:r>
      <w:r>
        <w:rPr>
          <w:lang w:eastAsia="en-US"/>
        </w:rPr>
        <w:t>EXECUÇÃO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bCs/>
          <w:color w:val="000000"/>
          <w:szCs w:val="20"/>
        </w:rPr>
      </w:pPr>
      <w:r>
        <w:rPr>
          <w:rFonts w:cs="Arial"/>
          <w:color w:val="000000"/>
          <w:szCs w:val="20"/>
        </w:rPr>
        <w:t>Nos termos do art. 67 Lei nº 8.666, de 1993, será designado representante para acompanhar e fiscalizar a entrega dos bens, anotando em registro próprio todas as ocorrências relacionadas com a execução e d</w:t>
      </w:r>
      <w:r>
        <w:rPr>
          <w:rFonts w:cs="Arial"/>
          <w:color w:val="000000"/>
          <w:szCs w:val="20"/>
        </w:rPr>
        <w:t>eterminando o que for necessário à regularização de falhas ou defeitos observados.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Cs/>
          <w:color w:val="000000"/>
          <w:szCs w:val="20"/>
        </w:rPr>
      </w:pPr>
      <w:r>
        <w:rPr>
          <w:rFonts w:cs="Arial"/>
          <w:color w:val="000000"/>
          <w:szCs w:val="20"/>
          <w:lang w:eastAsia="en-US"/>
        </w:rPr>
        <w:lastRenderedPageBreak/>
        <w:t xml:space="preserve">O recebimento de material de valor superior a R$ 176.000,00 (cento e setenta e seis mil reais) será confiado a uma comissão de, no mínimo, 3 (três) membros, designados pela </w:t>
      </w:r>
      <w:r>
        <w:rPr>
          <w:rFonts w:cs="Arial"/>
          <w:color w:val="000000"/>
          <w:szCs w:val="20"/>
          <w:lang w:eastAsia="en-US"/>
        </w:rPr>
        <w:t>autoridade competente.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Cs w:val="20"/>
          <w:lang w:eastAsia="en-US"/>
        </w:rPr>
      </w:pPr>
      <w:r>
        <w:rPr>
          <w:rFonts w:cs="Arial"/>
          <w:color w:val="000000"/>
          <w:szCs w:val="20"/>
          <w:lang w:eastAsia="en-US"/>
        </w:rPr>
        <w:t>A fiscalização de que trata este item não exclui nem reduz a responsabilidade da Contratada, inclusive perante terceiros, por qualquer irregularidade, ainda que resultante de imperfeições técnicas ou vícios redibitórios, e, na ocorrê</w:t>
      </w:r>
      <w:r>
        <w:rPr>
          <w:rFonts w:cs="Arial"/>
          <w:color w:val="000000"/>
          <w:szCs w:val="20"/>
          <w:lang w:eastAsia="en-US"/>
        </w:rPr>
        <w:t>ncia desta, não implica em corresponsabilidade da Administração ou de seus agentes e prepostos, de conformidade com o art. 70 da Lei nº 8.666, de 1993.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  <w:lang w:eastAsia="en-US"/>
        </w:rPr>
        <w:t>O representante da Administração anotará em registro próprio todas as ocorrências relacionadas com a exe</w:t>
      </w:r>
      <w:r>
        <w:rPr>
          <w:rFonts w:cs="Arial"/>
          <w:color w:val="000000"/>
          <w:szCs w:val="20"/>
          <w:lang w:eastAsia="en-US"/>
        </w:rPr>
        <w:t>cução do contrato, indicando dia, mês e ano, bem como o nome dos funcionários eventualmente envolvidos, determinando o que for necessário à regularização das falhas ou defeitos observados e encaminhando os apontamentos à autoridade competente para as provi</w:t>
      </w:r>
      <w:r>
        <w:rPr>
          <w:rFonts w:cs="Arial"/>
          <w:color w:val="000000"/>
          <w:szCs w:val="20"/>
          <w:lang w:eastAsia="en-US"/>
        </w:rPr>
        <w:t>dências cabíveis.</w:t>
      </w:r>
    </w:p>
    <w:p w:rsidR="00123C47" w:rsidRDefault="00F067B4">
      <w:pPr>
        <w:pStyle w:val="Nivel1"/>
        <w:numPr>
          <w:ilvl w:val="0"/>
          <w:numId w:val="1"/>
        </w:numPr>
        <w:ind w:left="357" w:hanging="357"/>
      </w:pPr>
      <w:r>
        <w:t>DO PAGAMENTO</w:t>
      </w:r>
    </w:p>
    <w:p w:rsidR="00123C47" w:rsidRDefault="00123C47">
      <w:pPr>
        <w:spacing w:before="120" w:after="120" w:line="276" w:lineRule="auto"/>
        <w:ind w:left="425"/>
        <w:jc w:val="both"/>
        <w:rPr>
          <w:rFonts w:cs="Arial"/>
          <w:color w:val="000000"/>
          <w:szCs w:val="20"/>
          <w:lang w:eastAsia="en-US"/>
        </w:rPr>
      </w:pPr>
    </w:p>
    <w:p w:rsidR="00123C47" w:rsidRDefault="00F067B4">
      <w:pPr>
        <w:pStyle w:val="PargrafodaLista"/>
        <w:numPr>
          <w:ilvl w:val="1"/>
          <w:numId w:val="1"/>
        </w:numPr>
        <w:spacing w:before="120" w:after="120" w:line="276" w:lineRule="auto"/>
        <w:jc w:val="both"/>
        <w:rPr>
          <w:rFonts w:cs="Arial"/>
          <w:color w:val="000000"/>
          <w:szCs w:val="20"/>
          <w:lang w:eastAsia="en-US"/>
        </w:rPr>
      </w:pPr>
      <w:r>
        <w:rPr>
          <w:rFonts w:cs="Arial"/>
          <w:color w:val="000000"/>
          <w:szCs w:val="20"/>
          <w:lang w:eastAsia="en-US"/>
        </w:rPr>
        <w:t xml:space="preserve">O pagamento será realizado no prazo máximo de até </w:t>
      </w:r>
      <w:r>
        <w:rPr>
          <w:rFonts w:cs="Arial"/>
          <w:szCs w:val="20"/>
          <w:lang w:eastAsia="en-US"/>
        </w:rPr>
        <w:t xml:space="preserve">30 (trinta) </w:t>
      </w:r>
      <w:r>
        <w:rPr>
          <w:rFonts w:cs="Arial"/>
          <w:color w:val="000000"/>
          <w:szCs w:val="20"/>
          <w:lang w:eastAsia="en-US"/>
        </w:rPr>
        <w:t xml:space="preserve">dias, contados a partir </w:t>
      </w:r>
      <w:r>
        <w:rPr>
          <w:rFonts w:cs="Arial"/>
          <w:color w:val="000000"/>
          <w:szCs w:val="20"/>
        </w:rPr>
        <w:t xml:space="preserve">do recebimento da Nota Fiscal ou Fatura, </w:t>
      </w:r>
      <w:r>
        <w:rPr>
          <w:rFonts w:cs="Arial"/>
          <w:color w:val="000000"/>
          <w:szCs w:val="20"/>
          <w:lang w:eastAsia="en-US"/>
        </w:rPr>
        <w:t xml:space="preserve">através de ordem bancária, para crédito em banco, agência e conta corrente indicados pelo </w:t>
      </w:r>
      <w:r>
        <w:rPr>
          <w:rFonts w:cs="Arial"/>
          <w:color w:val="000000"/>
          <w:szCs w:val="20"/>
          <w:lang w:eastAsia="en-US"/>
        </w:rPr>
        <w:t>contratado.</w:t>
      </w:r>
    </w:p>
    <w:p w:rsidR="00123C47" w:rsidRDefault="00F067B4">
      <w:pPr>
        <w:pStyle w:val="PargrafodaLista"/>
        <w:numPr>
          <w:ilvl w:val="2"/>
          <w:numId w:val="1"/>
        </w:numPr>
        <w:spacing w:before="120" w:after="120" w:line="276" w:lineRule="auto"/>
        <w:jc w:val="both"/>
        <w:rPr>
          <w:rFonts w:cs="Arial"/>
          <w:color w:val="000000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Os pagamentos decorrentes de despesas cujos valores não ultrapassem o limite </w:t>
      </w:r>
      <w:r>
        <w:rPr>
          <w:rFonts w:cs="Arial"/>
          <w:szCs w:val="20"/>
        </w:rPr>
        <w:t>de que trata o inciso II do art. 24</w:t>
      </w:r>
      <w:r>
        <w:rPr>
          <w:rFonts w:cs="Arial"/>
          <w:szCs w:val="20"/>
          <w:lang w:eastAsia="en-US"/>
        </w:rPr>
        <w:t xml:space="preserve"> da Lei 8.666, de 1993, deverão ser efetuados no prazo de até 5 (cinco) dias úteis, contados da data da apresentação da Nota Fiscal,</w:t>
      </w:r>
      <w:r>
        <w:rPr>
          <w:rFonts w:cs="Arial"/>
          <w:szCs w:val="20"/>
          <w:lang w:eastAsia="en-US"/>
        </w:rPr>
        <w:t xml:space="preserve"> nos termos do art. 5º, § 3º, da Lei nº 8.666, de 1993</w:t>
      </w:r>
      <w:r>
        <w:rPr>
          <w:rFonts w:cs="Arial"/>
          <w:color w:val="000000"/>
          <w:szCs w:val="20"/>
          <w:lang w:eastAsia="en-US"/>
        </w:rPr>
        <w:t>.</w:t>
      </w:r>
    </w:p>
    <w:p w:rsidR="00123C47" w:rsidRDefault="00F067B4">
      <w:pPr>
        <w:pStyle w:val="PargrafodaLista"/>
        <w:numPr>
          <w:ilvl w:val="1"/>
          <w:numId w:val="1"/>
        </w:numPr>
        <w:spacing w:before="120" w:after="120" w:line="276" w:lineRule="auto"/>
        <w:jc w:val="both"/>
        <w:rPr>
          <w:rFonts w:cs="Arial"/>
          <w:strike/>
          <w:color w:val="000000"/>
        </w:rPr>
      </w:pPr>
      <w:r>
        <w:rPr>
          <w:rFonts w:cs="Arial"/>
          <w:color w:val="000000"/>
          <w:szCs w:val="20"/>
        </w:rPr>
        <w:t>Considera-se ocorrido o recebimento da nota fiscal ou fatura no momento em que o órgão contratante atestar a execução do objeto do contrato.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A Nota Fiscal ou Fatura deverá ser obrigatoriamente acompanhada da comprovação da regularidade fiscal, constatada por meio de consulta on-line ao SICAF ou, na impossibilidade de acesso </w:t>
      </w:r>
      <w:r>
        <w:rPr>
          <w:rFonts w:cs="Arial"/>
          <w:color w:val="000000"/>
          <w:lang w:eastAsia="en-US"/>
        </w:rPr>
        <w:t>ao</w:t>
      </w:r>
      <w:r>
        <w:rPr>
          <w:color w:val="000000"/>
        </w:rPr>
        <w:t xml:space="preserve"> referido Sistema, mediante consulta aos sítios eletrônicos oficiais </w:t>
      </w:r>
      <w:r>
        <w:rPr>
          <w:color w:val="000000"/>
        </w:rPr>
        <w:t xml:space="preserve">ou à documentação mencionada no art. 29 da Lei nº 8.666, de 1993. 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Constatando-se, junto ao SICAF, a situação de irregularidade do fornecedor contratado, deverão ser tomadas as providências previstas no do art. 31 da Instrução </w:t>
      </w:r>
      <w:r>
        <w:rPr>
          <w:rFonts w:cs="Arial"/>
          <w:color w:val="000000"/>
          <w:lang w:eastAsia="en-US"/>
        </w:rPr>
        <w:t>Normativa</w:t>
      </w:r>
      <w:r>
        <w:rPr>
          <w:color w:val="000000"/>
        </w:rPr>
        <w:t xml:space="preserve"> nº 3, de 26 de abri</w:t>
      </w:r>
      <w:r>
        <w:rPr>
          <w:color w:val="000000"/>
        </w:rPr>
        <w:t>l de 2018.</w:t>
      </w:r>
    </w:p>
    <w:p w:rsidR="00123C47" w:rsidRDefault="00F067B4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Cs w:val="20"/>
          <w:lang w:eastAsia="en-US"/>
        </w:rPr>
      </w:pPr>
      <w:r>
        <w:rPr>
          <w:rFonts w:cs="Arial"/>
          <w:color w:val="000000"/>
          <w:szCs w:val="20"/>
          <w:lang w:eastAsia="en-US"/>
        </w:rPr>
        <w:t xml:space="preserve">Havendo erro na apresentação da Nota Fiscal ou dos documentos pertinentes à contratação, ou, ainda, circunstância que impeça a liquidação da despesa, como, por exemplo, </w:t>
      </w:r>
      <w:r>
        <w:rPr>
          <w:rFonts w:cs="Arial"/>
          <w:color w:val="000000"/>
          <w:szCs w:val="20"/>
        </w:rPr>
        <w:t>obrigação financeira pendente, decorrente de penalidade imposta ou inadimplê</w:t>
      </w:r>
      <w:r>
        <w:rPr>
          <w:rFonts w:cs="Arial"/>
          <w:color w:val="000000"/>
          <w:szCs w:val="20"/>
        </w:rPr>
        <w:t>ncia,</w:t>
      </w:r>
      <w:r>
        <w:rPr>
          <w:rFonts w:cs="Arial"/>
          <w:color w:val="000000"/>
          <w:szCs w:val="20"/>
          <w:lang w:eastAsia="en-US"/>
        </w:rPr>
        <w:t xml:space="preserve">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Será consider</w:t>
      </w:r>
      <w:r>
        <w:rPr>
          <w:rFonts w:cs="Arial"/>
          <w:szCs w:val="20"/>
          <w:lang w:eastAsia="en-US"/>
        </w:rPr>
        <w:t>ada data do pagamento o dia em que constar como emitida a ordem bancária para pagamento.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lastRenderedPageBreak/>
        <w:t xml:space="preserve">Antes de cada pagamento à contratada, será realizada consulta ao SICAF para verificar a manutenção das condições de habilitação exigidas no edital. 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Constatando-se, ju</w:t>
      </w:r>
      <w:r>
        <w:rPr>
          <w:rFonts w:cs="Arial"/>
          <w:szCs w:val="20"/>
          <w:lang w:eastAsia="en-US"/>
        </w:rPr>
        <w:t xml:space="preserve">nto ao SICAF, a situação de irregularidade da contratada, será providenciada sua notificação, por escrito, para que, no prazo de 5 (cinco) dias úteis, regularize sua situação ou, no mesmo prazo, apresente sua defesa. O prazo poderá ser prorrogado uma vez, </w:t>
      </w:r>
      <w:r>
        <w:rPr>
          <w:rFonts w:cs="Arial"/>
          <w:szCs w:val="20"/>
          <w:lang w:eastAsia="en-US"/>
        </w:rPr>
        <w:t>por igual período, a critério da contratante.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Previamente à emissão de nota de empenho e a cada pagamento, a Administração deverá realizar consulta ao SICAF para identificar possível suspensão temporária de participação em licitação, no âmbito do órgão ou </w:t>
      </w:r>
      <w:r>
        <w:rPr>
          <w:rFonts w:cs="Arial"/>
          <w:szCs w:val="20"/>
          <w:lang w:eastAsia="en-US"/>
        </w:rPr>
        <w:t>entidade, proibição de contratar com o Poder Público, bem como ocorrências impeditivas indiretas, observado o disposto no art. 29, da Instrução Normativa nº 3, de 26 de abril de 2018.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Não havendo regularização ou sendo a defesa considerada improcedente, a </w:t>
      </w:r>
      <w:r>
        <w:rPr>
          <w:rFonts w:cs="Arial"/>
          <w:szCs w:val="20"/>
          <w:lang w:eastAsia="en-US"/>
        </w:rPr>
        <w:t>contratante deverá comunicar aos órgãos responsáveis pela fiscalização da regularidade fiscal quanto à inadimplência da contratada, bem como quanto à existência de pagamento a ser efetuado, para que sejam acionados os meios pertinentes e necessários para g</w:t>
      </w:r>
      <w:r>
        <w:rPr>
          <w:rFonts w:cs="Arial"/>
          <w:szCs w:val="20"/>
          <w:lang w:eastAsia="en-US"/>
        </w:rPr>
        <w:t xml:space="preserve">arantir o recebimento de seus créditos.  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Persistindo a irregularidade, a contratante deverá adotar as medidas necessárias à rescisão contratual nos autos do processo administrativo correspondente, assegurada à contratada a ampla defesa. 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Havendo a efetiva</w:t>
      </w:r>
      <w:r>
        <w:rPr>
          <w:rFonts w:cs="Arial"/>
          <w:szCs w:val="20"/>
          <w:lang w:eastAsia="en-US"/>
        </w:rPr>
        <w:t xml:space="preserve"> execução do objeto, os pagamentos serão realizados normalmente, até que se decida pela rescisão do contrato, caso a contratada não regularize sua situação junto ao SICAF.  </w:t>
      </w:r>
    </w:p>
    <w:p w:rsidR="00123C47" w:rsidRDefault="00F067B4">
      <w:pPr>
        <w:pStyle w:val="PargrafodaLista"/>
        <w:spacing w:before="120" w:after="120" w:line="276" w:lineRule="auto"/>
        <w:ind w:left="716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  <w:lang w:eastAsia="en-US"/>
        </w:rPr>
        <w:t>10.11.1.Será rescindido o contrato em execução com a contratada inadimplente no SI</w:t>
      </w:r>
      <w:r>
        <w:rPr>
          <w:rFonts w:cs="Arial"/>
          <w:szCs w:val="20"/>
          <w:lang w:eastAsia="en-US"/>
        </w:rPr>
        <w:t>CAF, salvo por motivo de economicidade, segurança nacional ou outro de interesse público de alta relevância, devidamente justificado, em qualquer caso, pela máxima autoridade da contratante.</w:t>
      </w:r>
    </w:p>
    <w:p w:rsidR="00123C47" w:rsidRDefault="00F067B4">
      <w:pPr>
        <w:pStyle w:val="PargrafodaLista"/>
        <w:numPr>
          <w:ilvl w:val="1"/>
          <w:numId w:val="1"/>
        </w:numPr>
        <w:spacing w:before="120" w:after="120"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Quando do pagamento, será efetuada a retenção tributária prevista</w:t>
      </w:r>
      <w:r>
        <w:rPr>
          <w:rFonts w:cs="Arial"/>
          <w:color w:val="000000"/>
          <w:szCs w:val="20"/>
        </w:rPr>
        <w:t xml:space="preserve"> na legislação aplicável.</w:t>
      </w:r>
    </w:p>
    <w:p w:rsidR="00123C47" w:rsidRDefault="00F067B4">
      <w:pPr>
        <w:numPr>
          <w:ilvl w:val="2"/>
          <w:numId w:val="1"/>
        </w:numPr>
        <w:tabs>
          <w:tab w:val="left" w:pos="1440"/>
        </w:tabs>
        <w:snapToGrid w:val="0"/>
        <w:spacing w:before="120" w:after="120" w:line="276" w:lineRule="auto"/>
        <w:ind w:left="1134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 Contratada regularmente optante pelo Simples Nacional, nos termos da Lei Complementar nº 123, de 2006, não sofrerá a retenção tributária quanto aos impostos e contribuições abrangidos por aquele regime. No entanto, o pagamento f</w:t>
      </w:r>
      <w:r>
        <w:rPr>
          <w:rFonts w:cs="Arial"/>
          <w:color w:val="000000"/>
          <w:szCs w:val="20"/>
        </w:rPr>
        <w:t>icará condicionado à apresentação de comprovação, por meio de documento oficial, de que faz jus ao tratamento tributário favorecido previsto na referida Lei Complementar.</w:t>
      </w:r>
    </w:p>
    <w:p w:rsidR="00123C47" w:rsidRDefault="00F067B4">
      <w:pPr>
        <w:spacing w:before="120" w:after="120" w:line="276" w:lineRule="auto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  <w:lang w:eastAsia="en-US"/>
        </w:rPr>
        <w:t xml:space="preserve"> </w:t>
      </w:r>
    </w:p>
    <w:p w:rsidR="00123C47" w:rsidRDefault="00F067B4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Nos casos de eventuais atrasos de pagamento, desde que a Contratada não tenha conco</w:t>
      </w:r>
      <w:r>
        <w:rPr>
          <w:rFonts w:cs="Arial"/>
          <w:color w:val="000000"/>
          <w:szCs w:val="20"/>
        </w:rPr>
        <w:t>rrido, de alguma forma, para tanto, fica convencionado que a taxa de compensação financeira devida pela Contratante, entre a data do vencimento e o efetivo adimplemento da parcela, é calculada mediante a aplicação da seguinte fórmula:</w:t>
      </w:r>
    </w:p>
    <w:p w:rsidR="00123C47" w:rsidRDefault="00F067B4">
      <w:pPr>
        <w:tabs>
          <w:tab w:val="left" w:pos="1701"/>
        </w:tabs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EM = I x N x VP, </w:t>
      </w:r>
      <w:r>
        <w:rPr>
          <w:rFonts w:cs="Arial"/>
          <w:color w:val="000000"/>
          <w:szCs w:val="20"/>
        </w:rPr>
        <w:t>sendo:</w:t>
      </w:r>
    </w:p>
    <w:p w:rsidR="00123C47" w:rsidRDefault="00F067B4">
      <w:pPr>
        <w:tabs>
          <w:tab w:val="left" w:pos="1701"/>
        </w:tabs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EM = Encargos moratórios;</w:t>
      </w:r>
    </w:p>
    <w:p w:rsidR="00123C47" w:rsidRDefault="00F067B4">
      <w:pPr>
        <w:tabs>
          <w:tab w:val="left" w:pos="1701"/>
        </w:tabs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 = Número de dias entre a data prevista para o pagamento e a do efetivo pagamento;</w:t>
      </w:r>
    </w:p>
    <w:p w:rsidR="00123C47" w:rsidRDefault="00F067B4">
      <w:pPr>
        <w:tabs>
          <w:tab w:val="left" w:pos="1701"/>
        </w:tabs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VP = Valor da parcela a ser paga.</w:t>
      </w:r>
    </w:p>
    <w:p w:rsidR="00123C47" w:rsidRDefault="00F067B4">
      <w:pPr>
        <w:tabs>
          <w:tab w:val="left" w:pos="1701"/>
        </w:tabs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 = Índice de compensação financeira = 0,00016438, assim apurado:</w:t>
      </w:r>
    </w:p>
    <w:tbl>
      <w:tblPr>
        <w:tblStyle w:val="Tabelacomgrade"/>
        <w:tblW w:w="8862" w:type="dxa"/>
        <w:tblInd w:w="425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11"/>
        <w:gridCol w:w="588"/>
        <w:gridCol w:w="1276"/>
        <w:gridCol w:w="4787"/>
      </w:tblGrid>
      <w:tr w:rsidR="00123C47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C47" w:rsidRDefault="00F067B4">
            <w:pPr>
              <w:tabs>
                <w:tab w:val="left" w:pos="1701"/>
              </w:tabs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eastAsia="MS Mincho" w:cs="Arial"/>
                <w:color w:val="000000"/>
                <w:szCs w:val="20"/>
                <w:lang w:eastAsia="en-US"/>
              </w:rPr>
              <w:t>I = (TX)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C47" w:rsidRDefault="00F067B4">
            <w:pPr>
              <w:tabs>
                <w:tab w:val="left" w:pos="1701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eastAsia="MS Mincho" w:cs="Arial"/>
                <w:color w:val="000000"/>
                <w:szCs w:val="20"/>
                <w:lang w:eastAsia="en-US"/>
              </w:rPr>
              <w:t xml:space="preserve">I = 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23C47" w:rsidRDefault="00F067B4">
            <w:pPr>
              <w:tabs>
                <w:tab w:val="left" w:pos="1701"/>
              </w:tabs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eastAsia="MS Mincho" w:cs="Arial"/>
                <w:color w:val="000000"/>
                <w:szCs w:val="20"/>
                <w:lang w:eastAsia="en-US"/>
              </w:rPr>
              <w:t>( 6 / 100 )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3C47" w:rsidRDefault="00F067B4">
            <w:pPr>
              <w:tabs>
                <w:tab w:val="left" w:pos="1701"/>
              </w:tabs>
              <w:ind w:left="742"/>
              <w:rPr>
                <w:rFonts w:cs="Arial"/>
                <w:color w:val="000000"/>
                <w:szCs w:val="20"/>
              </w:rPr>
            </w:pPr>
            <w:r>
              <w:rPr>
                <w:rFonts w:eastAsia="MS Mincho" w:cs="Arial"/>
                <w:color w:val="000000"/>
                <w:szCs w:val="20"/>
                <w:lang w:eastAsia="en-US"/>
              </w:rPr>
              <w:t xml:space="preserve">I = </w:t>
            </w:r>
            <w:r>
              <w:rPr>
                <w:rFonts w:eastAsia="MS Mincho" w:cs="Arial"/>
                <w:color w:val="000000"/>
                <w:szCs w:val="20"/>
                <w:lang w:eastAsia="en-US"/>
              </w:rPr>
              <w:t>0,00016438</w:t>
            </w:r>
          </w:p>
          <w:p w:rsidR="00123C47" w:rsidRDefault="00F067B4">
            <w:pPr>
              <w:tabs>
                <w:tab w:val="left" w:pos="1701"/>
              </w:tabs>
              <w:ind w:left="742"/>
              <w:rPr>
                <w:rFonts w:cs="Arial"/>
                <w:color w:val="000000"/>
                <w:szCs w:val="20"/>
              </w:rPr>
            </w:pPr>
            <w:r>
              <w:rPr>
                <w:rFonts w:eastAsia="MS Mincho" w:cs="Arial"/>
                <w:color w:val="000000"/>
                <w:szCs w:val="20"/>
                <w:lang w:eastAsia="en-US"/>
              </w:rPr>
              <w:t>TX = Percentual da taxa anual = 6%</w:t>
            </w:r>
          </w:p>
        </w:tc>
      </w:tr>
    </w:tbl>
    <w:p w:rsidR="00123C47" w:rsidRDefault="00F067B4">
      <w:r>
        <w:t xml:space="preserve">                                                            365</w:t>
      </w:r>
    </w:p>
    <w:p w:rsidR="00123C47" w:rsidRDefault="00123C47"/>
    <w:p w:rsidR="00123C47" w:rsidRDefault="00F067B4">
      <w:pPr>
        <w:pStyle w:val="Nivel1"/>
        <w:numPr>
          <w:ilvl w:val="0"/>
          <w:numId w:val="1"/>
        </w:numPr>
        <w:ind w:left="357" w:hanging="357"/>
      </w:pPr>
      <w:r>
        <w:t xml:space="preserve">DO REAJUSTE </w:t>
      </w:r>
    </w:p>
    <w:p w:rsidR="00123C47" w:rsidRDefault="00F067B4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</w:pPr>
      <w:r>
        <w:rPr>
          <w:rFonts w:cs="Arial"/>
          <w:color w:val="000000"/>
          <w:szCs w:val="20"/>
        </w:rPr>
        <w:t xml:space="preserve">Os preços são fixos e irreajustáveis,  haja vista a entrega ser imediata. </w:t>
      </w:r>
    </w:p>
    <w:p w:rsidR="00123C47" w:rsidRDefault="00123C47">
      <w:pPr>
        <w:pStyle w:val="PargrafodaLista"/>
        <w:spacing w:before="120" w:after="120" w:line="276" w:lineRule="auto"/>
        <w:ind w:left="1141"/>
        <w:jc w:val="both"/>
        <w:rPr>
          <w:rFonts w:cs="Arial"/>
          <w:color w:val="000000"/>
          <w:szCs w:val="20"/>
        </w:rPr>
      </w:pPr>
    </w:p>
    <w:p w:rsidR="00123C47" w:rsidRDefault="00F067B4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</w:pPr>
      <w:r>
        <w:rPr>
          <w:rFonts w:cs="Arial"/>
          <w:color w:val="000000"/>
          <w:szCs w:val="20"/>
        </w:rPr>
        <w:t>Caso o índice estabelecido para reajustamento venha a ser extinto ou de qualquer forma não possa mais ser utilizad</w:t>
      </w:r>
      <w:r>
        <w:rPr>
          <w:rFonts w:cs="Arial"/>
          <w:color w:val="000000"/>
          <w:szCs w:val="20"/>
        </w:rPr>
        <w:t>o, será adotado, em substituição, o que vier a ser determinado pela legislação então em vigor.</w:t>
      </w:r>
    </w:p>
    <w:p w:rsidR="00123C47" w:rsidRDefault="00123C47">
      <w:pPr>
        <w:pStyle w:val="PargrafodaLista"/>
        <w:spacing w:before="120" w:after="120" w:line="276" w:lineRule="auto"/>
        <w:ind w:left="1141"/>
        <w:jc w:val="both"/>
        <w:rPr>
          <w:rFonts w:cs="Arial"/>
          <w:color w:val="000000"/>
          <w:szCs w:val="20"/>
        </w:rPr>
      </w:pPr>
    </w:p>
    <w:p w:rsidR="00123C47" w:rsidRDefault="00F067B4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</w:pPr>
      <w:r>
        <w:rPr>
          <w:rFonts w:cs="Arial"/>
          <w:color w:val="000000"/>
          <w:szCs w:val="20"/>
        </w:rPr>
        <w:t>Na ausência de previsão legal quanto ao índice substituto, as partes elegerão novo índice oficial, para reajustamento do preço do valor remanescente, por meio d</w:t>
      </w:r>
      <w:r>
        <w:rPr>
          <w:rFonts w:cs="Arial"/>
          <w:color w:val="000000"/>
          <w:szCs w:val="20"/>
        </w:rPr>
        <w:t xml:space="preserve">e termo aditivo. </w:t>
      </w:r>
    </w:p>
    <w:p w:rsidR="00123C47" w:rsidRDefault="00123C47">
      <w:pPr>
        <w:pStyle w:val="PargrafodaLista"/>
        <w:spacing w:before="120" w:after="120" w:line="276" w:lineRule="auto"/>
        <w:ind w:left="1141"/>
        <w:jc w:val="both"/>
        <w:rPr>
          <w:rFonts w:cs="Arial"/>
          <w:color w:val="000000"/>
          <w:szCs w:val="20"/>
        </w:rPr>
      </w:pPr>
    </w:p>
    <w:p w:rsidR="00123C47" w:rsidRDefault="00F067B4">
      <w:pPr>
        <w:pStyle w:val="PargrafodaLista"/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 reajuste será realizado por apostilamento.</w:t>
      </w:r>
    </w:p>
    <w:p w:rsidR="00123C47" w:rsidRDefault="00F067B4">
      <w:pPr>
        <w:pStyle w:val="Nivel1"/>
        <w:numPr>
          <w:ilvl w:val="0"/>
          <w:numId w:val="2"/>
        </w:numPr>
      </w:pPr>
      <w:r>
        <w:t>DAS SANÇÕES ADMINISTRATIVAS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Comete infração administrativa nos termos da Lei nº 10.520, de 2002, a Contratada que: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inexecutar total ou parcialmente qualquer das obrigações assumidas em decorrê</w:t>
      </w:r>
      <w:r>
        <w:rPr>
          <w:rFonts w:cs="Arial"/>
          <w:szCs w:val="20"/>
        </w:rPr>
        <w:t>ncia da contratação;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ensejar o retardamento da execução do objeto;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falhar ou fraudar na execução do contrato;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comportar-se de modo inidôneo;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cometer fraude fiscal;</w:t>
      </w:r>
    </w:p>
    <w:p w:rsidR="00123C47" w:rsidRDefault="00F067B4">
      <w:pPr>
        <w:pStyle w:val="PargrafodaLista"/>
        <w:numPr>
          <w:ilvl w:val="1"/>
          <w:numId w:val="1"/>
        </w:numPr>
        <w:spacing w:before="120" w:after="120" w:line="276" w:lineRule="auto"/>
        <w:ind w:right="-3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Pela inexecução </w:t>
      </w:r>
      <w:r>
        <w:rPr>
          <w:rFonts w:cs="Arial"/>
          <w:szCs w:val="20"/>
          <w:u w:val="single"/>
        </w:rPr>
        <w:t>total ou parcial</w:t>
      </w:r>
      <w:r>
        <w:rPr>
          <w:rFonts w:cs="Arial"/>
          <w:szCs w:val="20"/>
        </w:rPr>
        <w:t xml:space="preserve"> do objeto deste contrato, a Administração pode aplicar à CONTRATADA as seguintes sanções: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Advertência,</w:t>
      </w:r>
      <w:r>
        <w:rPr>
          <w:rFonts w:cs="Arial"/>
          <w:szCs w:val="20"/>
        </w:rPr>
        <w:t xml:space="preserve">  por faltas leves, assim entendidas aquelas que não acarretem prejuízos significativos para a Contratante;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multa moratória de 1% (um por cento) por dia </w:t>
      </w:r>
      <w:r>
        <w:rPr>
          <w:rFonts w:cs="Arial"/>
          <w:szCs w:val="20"/>
        </w:rPr>
        <w:t>de atraso injustificado sobre o valor da parcela inadimplida, até o limite de 30 (trinta) dias;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multa compensatória de 2% (dois por cento) sobre o valor total do contrato, no caso de inexecução total do objeto;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em caso de inexecução parcial, a multa </w:t>
      </w:r>
      <w:r>
        <w:rPr>
          <w:rFonts w:cs="Arial"/>
          <w:szCs w:val="20"/>
        </w:rPr>
        <w:t>compensatória, no mesmo percentual do subitem acima, será aplicada de forma proporcional à obrigação inadimplida;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b/>
          <w:i/>
          <w:color w:val="7030A0"/>
          <w:szCs w:val="20"/>
          <w:u w:val="single"/>
        </w:rPr>
      </w:pPr>
      <w:r>
        <w:rPr>
          <w:rFonts w:cs="Arial"/>
          <w:szCs w:val="20"/>
        </w:rPr>
        <w:lastRenderedPageBreak/>
        <w:t>suspensão de licitar e impedimento de contratar com o órgão, entidade ou unidade administrativa pela qual a Administração Pública opera e atua</w:t>
      </w:r>
      <w:r>
        <w:rPr>
          <w:rFonts w:cs="Arial"/>
          <w:szCs w:val="20"/>
        </w:rPr>
        <w:t xml:space="preserve"> concretamente, pelo prazo de até dois anos; 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impedimento de licitar e contratar com órgãos e entidades da União com o consequente descredenciamento no SICAF pelo prazo de até cinco anos;</w:t>
      </w:r>
    </w:p>
    <w:p w:rsidR="00123C47" w:rsidRDefault="00F067B4">
      <w:pPr>
        <w:pStyle w:val="PargrafodaLista1"/>
        <w:numPr>
          <w:ilvl w:val="3"/>
          <w:numId w:val="1"/>
        </w:numPr>
        <w:spacing w:before="120" w:after="120" w:line="276" w:lineRule="auto"/>
        <w:ind w:right="-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Sanção de impedimento de licitar e contratar prevista neste subite</w:t>
      </w:r>
      <w:r>
        <w:rPr>
          <w:rFonts w:ascii="Arial" w:hAnsi="Arial" w:cs="Arial"/>
          <w:sz w:val="20"/>
          <w:szCs w:val="20"/>
        </w:rPr>
        <w:t>m também é aplicável em quaisquer das hipóteses previstas como infração administrativa no subitem 19.1 deste Termo de Referência.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declaração de inidoneidade para licitar ou contratar com a Administração Pública, enquanto perdurarem os motivos determinantes</w:t>
      </w:r>
      <w:r>
        <w:rPr>
          <w:rFonts w:cs="Arial"/>
          <w:szCs w:val="20"/>
        </w:rPr>
        <w:t xml:space="preserve"> da punição ou até que seja promovida a reabilitação perante a própria autoridade que aplicou a penalidade, que será concedida sempre que a Contratada ressarcir a Contratante pelos prejuízos causados;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right="-30"/>
        <w:jc w:val="both"/>
        <w:rPr>
          <w:rFonts w:cs="Arial"/>
          <w:szCs w:val="20"/>
        </w:rPr>
      </w:pPr>
      <w:r>
        <w:rPr>
          <w:rFonts w:cs="Arial"/>
          <w:szCs w:val="20"/>
        </w:rPr>
        <w:t>As sanções previstas nos subitens 12.2.1, 12.3.3, 12.3.</w:t>
      </w:r>
      <w:r>
        <w:rPr>
          <w:rFonts w:cs="Arial"/>
          <w:szCs w:val="20"/>
        </w:rPr>
        <w:t>4 e 12.3.5 poderão ser aplicadas à CONTRATADA juntamente com as de multa, descontando-a dos pagamentos a serem efetuados.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Também ficam sujeitas às penalidades do art. 87, III e IV da Lei nº 8.666, de 1993, as empresas ou profissionais que: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tenham sofrido c</w:t>
      </w:r>
      <w:r>
        <w:rPr>
          <w:rFonts w:cs="Arial"/>
          <w:szCs w:val="20"/>
        </w:rPr>
        <w:t>ondenação definitiva por praticar, por meio dolosos, fraude fiscal no recolhimento de quaisquer tributos;</w:t>
      </w:r>
    </w:p>
    <w:p w:rsidR="00123C47" w:rsidRDefault="00F067B4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tenham praticado atos ilícitos visando a frustrar os objetivos da licitação;</w:t>
      </w:r>
    </w:p>
    <w:p w:rsidR="00123C47" w:rsidRDefault="00F067B4">
      <w:pPr>
        <w:numPr>
          <w:ilvl w:val="2"/>
          <w:numId w:val="1"/>
        </w:numPr>
        <w:spacing w:before="240" w:after="120" w:line="276" w:lineRule="auto"/>
        <w:ind w:left="1134" w:right="-17" w:hanging="28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demonstrem não possuir idoneidade para contratar com a </w:t>
      </w:r>
      <w:r>
        <w:rPr>
          <w:rFonts w:cs="Arial"/>
          <w:szCs w:val="20"/>
        </w:rPr>
        <w:t>Administração em virtude de atos ilícitos praticados.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aplicação de qualquer das penalidades previstas realizar-se-á em processo administrativo que assegurará o contraditório e a ampla defesa à Contratada, observando-se o procedimento previsto na Lei nº 8</w:t>
      </w:r>
      <w:r>
        <w:rPr>
          <w:rFonts w:cs="Arial"/>
          <w:szCs w:val="20"/>
        </w:rPr>
        <w:t>.666, de 1993, e subsidiariamente a Lei nº 9.784, de 1999.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A autoridade competente, na aplicação das sanções, levará em consideração a gravidade da conduta do infrator, o caráter educativo da pena, bem como o dano causado à Administração, observado o princ</w:t>
      </w:r>
      <w:r>
        <w:rPr>
          <w:rFonts w:cs="Arial"/>
          <w:szCs w:val="20"/>
        </w:rPr>
        <w:t>ípio da proporcionalidade.</w:t>
      </w:r>
    </w:p>
    <w:p w:rsidR="00123C47" w:rsidRDefault="00F067B4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As penalidades serão obrigatoriamente registradas no SICAF.</w:t>
      </w:r>
    </w:p>
    <w:p w:rsidR="00123C47" w:rsidRDefault="00123C47">
      <w:pPr>
        <w:pStyle w:val="Nivel1"/>
        <w:spacing w:before="120"/>
        <w:ind w:right="-30"/>
        <w:rPr>
          <w:bCs/>
        </w:rPr>
      </w:pPr>
    </w:p>
    <w:p w:rsidR="00123C47" w:rsidRDefault="00F067B4">
      <w:pPr>
        <w:pStyle w:val="Nivel1"/>
        <w:numPr>
          <w:ilvl w:val="0"/>
          <w:numId w:val="1"/>
        </w:numPr>
        <w:spacing w:before="120"/>
        <w:ind w:left="357" w:right="-30" w:hanging="357"/>
        <w:rPr>
          <w:bCs/>
        </w:rPr>
      </w:pPr>
      <w:r>
        <w:t>DOS RECURSOS ORÇAMENTÁRIOS.</w:t>
      </w:r>
    </w:p>
    <w:p w:rsidR="00123C47" w:rsidRDefault="00123C47">
      <w:pPr>
        <w:spacing w:before="120" w:after="120" w:line="276" w:lineRule="auto"/>
        <w:ind w:left="425"/>
        <w:jc w:val="both"/>
        <w:rPr>
          <w:rFonts w:cs="Arial"/>
          <w:i/>
          <w:szCs w:val="20"/>
        </w:rPr>
      </w:pPr>
    </w:p>
    <w:p w:rsidR="00123C47" w:rsidRDefault="00F067B4">
      <w:pPr>
        <w:spacing w:after="360"/>
        <w:ind w:left="360"/>
        <w:jc w:val="right"/>
        <w:rPr>
          <w:b/>
          <w:bCs/>
          <w:color w:val="000000"/>
        </w:rPr>
      </w:pPr>
      <w:r>
        <w:rPr>
          <w:rFonts w:cs="Arial"/>
          <w:b/>
          <w:bCs/>
          <w:color w:val="000000"/>
          <w:szCs w:val="20"/>
        </w:rPr>
        <w:t xml:space="preserve"> Petrolina – PE, 01 de julho de 2019</w:t>
      </w:r>
    </w:p>
    <w:p w:rsidR="00123C47" w:rsidRDefault="00F067B4">
      <w:pPr>
        <w:spacing w:after="132"/>
        <w:ind w:left="360"/>
        <w:jc w:val="center"/>
      </w:pPr>
      <w:bookmarkStart w:id="1" w:name="_GoBack"/>
      <w:bookmarkEnd w:id="1"/>
      <w:r>
        <w:rPr>
          <w:rFonts w:cs="Arial"/>
          <w:szCs w:val="20"/>
        </w:rPr>
        <w:t>______</w:t>
      </w:r>
      <w:r>
        <w:rPr>
          <w:rFonts w:cs="Arial"/>
          <w:szCs w:val="20"/>
        </w:rPr>
        <w:t>____________________________</w:t>
      </w:r>
    </w:p>
    <w:p w:rsidR="00123C47" w:rsidRDefault="00F067B4">
      <w:pPr>
        <w:spacing w:after="132"/>
        <w:ind w:left="360"/>
        <w:jc w:val="center"/>
      </w:pPr>
      <w:r>
        <w:rPr>
          <w:rFonts w:cs="Arial"/>
          <w:szCs w:val="20"/>
        </w:rPr>
        <w:t>Jean Lúcio Santos Evangelista</w:t>
      </w:r>
    </w:p>
    <w:p w:rsidR="00123C47" w:rsidRDefault="00F067B4">
      <w:pPr>
        <w:spacing w:after="189"/>
        <w:ind w:left="360"/>
        <w:jc w:val="center"/>
      </w:pPr>
      <w:r>
        <w:rPr>
          <w:rFonts w:cs="Arial"/>
          <w:szCs w:val="20"/>
        </w:rPr>
        <w:t>Requisitante</w:t>
      </w:r>
    </w:p>
    <w:p w:rsidR="00123C47" w:rsidRDefault="00123C47">
      <w:pPr>
        <w:spacing w:line="276" w:lineRule="auto"/>
        <w:rPr>
          <w:rFonts w:ascii="Times New Roman" w:hAnsi="Times New Roman"/>
          <w:b/>
        </w:rPr>
      </w:pPr>
    </w:p>
    <w:p w:rsidR="00123C47" w:rsidRDefault="00123C47">
      <w:pPr>
        <w:spacing w:line="276" w:lineRule="auto"/>
        <w:rPr>
          <w:rFonts w:ascii="Times New Roman" w:hAnsi="Times New Roman"/>
          <w:b/>
        </w:rPr>
      </w:pPr>
    </w:p>
    <w:p w:rsidR="00123C47" w:rsidRDefault="00F067B4">
      <w:pPr>
        <w:spacing w:line="276" w:lineRule="auto"/>
      </w:pPr>
      <w:r>
        <w:rPr>
          <w:rFonts w:ascii="Times New Roman" w:hAnsi="Times New Roman"/>
          <w:b/>
        </w:rPr>
        <w:t>APROVO:</w:t>
      </w:r>
    </w:p>
    <w:p w:rsidR="00123C47" w:rsidRDefault="00123C47">
      <w:pPr>
        <w:spacing w:line="276" w:lineRule="auto"/>
        <w:rPr>
          <w:rFonts w:ascii="Times New Roman" w:hAnsi="Times New Roman"/>
          <w:sz w:val="12"/>
          <w:szCs w:val="12"/>
        </w:rPr>
      </w:pPr>
    </w:p>
    <w:p w:rsidR="00123C47" w:rsidRDefault="00F067B4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before="114" w:after="114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O presente Termo de Referência de acordo com o inciso II do Artigo 9º do Decreto nº 5.450/2005, cuja finalidade é subsidiar os licitantes</w:t>
      </w:r>
      <w:r>
        <w:rPr>
          <w:rFonts w:cs="Arial"/>
          <w:szCs w:val="20"/>
        </w:rPr>
        <w:t xml:space="preserve"> de todas as informações necessárias à </w:t>
      </w:r>
      <w:r>
        <w:rPr>
          <w:rFonts w:cs="Arial"/>
          <w:b/>
          <w:bCs/>
          <w:szCs w:val="20"/>
        </w:rPr>
        <w:t>Aquisição de Detector de Metais para a Reitoria   do Instituto Federal do Sertão Pernambucano</w:t>
      </w:r>
      <w:r>
        <w:rPr>
          <w:rFonts w:cs="Arial"/>
          <w:szCs w:val="20"/>
        </w:rPr>
        <w:t xml:space="preserve">. </w:t>
      </w:r>
    </w:p>
    <w:p w:rsidR="00123C47" w:rsidRDefault="00123C4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123C47" w:rsidRDefault="00123C47">
      <w:pPr>
        <w:spacing w:line="276" w:lineRule="auto"/>
        <w:rPr>
          <w:rFonts w:ascii="Times New Roman" w:hAnsi="Times New Roman"/>
        </w:rPr>
      </w:pPr>
    </w:p>
    <w:p w:rsidR="00123C47" w:rsidRDefault="00F067B4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123C47" w:rsidRDefault="00F067B4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Autoridade Máxima da Unidade</w:t>
      </w:r>
    </w:p>
    <w:p w:rsidR="00123C47" w:rsidRDefault="00F067B4">
      <w:pPr>
        <w:spacing w:line="276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Arial"/>
          <w:b/>
          <w:szCs w:val="20"/>
        </w:rPr>
        <w:t xml:space="preserve">Matrícula: </w:t>
      </w:r>
    </w:p>
    <w:p w:rsidR="00123C47" w:rsidRDefault="00123C47">
      <w:pPr>
        <w:rPr>
          <w:rFonts w:cs="Arial"/>
          <w:szCs w:val="20"/>
        </w:rPr>
      </w:pPr>
    </w:p>
    <w:p w:rsidR="00123C47" w:rsidRDefault="00123C47"/>
    <w:sectPr w:rsidR="00123C47">
      <w:headerReference w:type="default" r:id="rId11"/>
      <w:footerReference w:type="default" r:id="rId12"/>
      <w:pgSz w:w="11906" w:h="16838"/>
      <w:pgMar w:top="3083" w:right="1134" w:bottom="1418" w:left="1701" w:header="1418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B4" w:rsidRDefault="00F067B4">
      <w:r>
        <w:separator/>
      </w:r>
    </w:p>
  </w:endnote>
  <w:endnote w:type="continuationSeparator" w:id="0">
    <w:p w:rsidR="00F067B4" w:rsidRDefault="00F0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47" w:rsidRDefault="00F067B4">
    <w:pPr>
      <w:pStyle w:val="Rodap"/>
    </w:pPr>
    <w:r>
      <w:rPr>
        <w:rFonts w:ascii="Times New Roman" w:hAnsi="Times New Roman" w:cs="Times New Roman"/>
      </w:rPr>
      <w:t>____________________________________________________________________</w:t>
    </w:r>
  </w:p>
  <w:p w:rsidR="00123C47" w:rsidRDefault="00F067B4">
    <w:pPr>
      <w:pStyle w:val="Rodap"/>
    </w:pPr>
    <w:r>
      <w:rPr>
        <w:rFonts w:cs="Arial"/>
        <w:sz w:val="12"/>
        <w:szCs w:val="12"/>
      </w:rPr>
      <w:t>Comissão Permanente de Modelos de Licitações e Contratos da Consultoria-Geral da União</w:t>
    </w:r>
  </w:p>
  <w:p w:rsidR="00123C47" w:rsidRDefault="00F067B4">
    <w:pPr>
      <w:pStyle w:val="Rodap"/>
    </w:pPr>
    <w:r>
      <w:rPr>
        <w:rFonts w:cs="Arial"/>
        <w:sz w:val="12"/>
        <w:szCs w:val="12"/>
      </w:rPr>
      <w:t>Termo de Referência – Modelo para Pregão Eletrônico – Compras</w:t>
    </w:r>
  </w:p>
  <w:p w:rsidR="00123C47" w:rsidRDefault="00F067B4">
    <w:pPr>
      <w:pStyle w:val="Rodap"/>
    </w:pPr>
    <w:r>
      <w:rPr>
        <w:rFonts w:cs="Arial"/>
        <w:sz w:val="12"/>
        <w:szCs w:val="12"/>
      </w:rPr>
      <w:t>Atualização: Dezembro/2018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B4" w:rsidRDefault="00F067B4">
      <w:r>
        <w:separator/>
      </w:r>
    </w:p>
  </w:footnote>
  <w:footnote w:type="continuationSeparator" w:id="0">
    <w:p w:rsidR="00F067B4" w:rsidRDefault="00F0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C47" w:rsidRDefault="00F067B4">
    <w:pPr>
      <w:pStyle w:val="Cabealho"/>
      <w:rPr>
        <w:rFonts w:eastAsia="Arial" w:cs="Arial"/>
      </w:rPr>
    </w:pPr>
    <w:r>
      <w:rPr>
        <w:rFonts w:eastAsia="Arial" w:cs="Arial"/>
        <w:noProof/>
      </w:rPr>
      <w:drawing>
        <wp:anchor distT="0" distB="0" distL="0" distR="0" simplePos="0" relativeHeight="2" behindDoc="0" locked="0" layoutInCell="1" allowOverlap="1">
          <wp:simplePos x="0" y="0"/>
          <wp:positionH relativeFrom="page">
            <wp:posOffset>3417570</wp:posOffset>
          </wp:positionH>
          <wp:positionV relativeFrom="page">
            <wp:posOffset>454660</wp:posOffset>
          </wp:positionV>
          <wp:extent cx="652145" cy="639445"/>
          <wp:effectExtent l="0" t="0" r="0" b="0"/>
          <wp:wrapTopAndBottom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9" t="-121" r="-119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noProof/>
      </w:rPr>
      <w:drawing>
        <wp:anchor distT="0" distB="0" distL="0" distR="0" simplePos="0" relativeHeight="10" behindDoc="0" locked="0" layoutInCell="1" allowOverlap="1">
          <wp:simplePos x="0" y="0"/>
          <wp:positionH relativeFrom="column">
            <wp:posOffset>-235585</wp:posOffset>
          </wp:positionH>
          <wp:positionV relativeFrom="paragraph">
            <wp:posOffset>-537210</wp:posOffset>
          </wp:positionV>
          <wp:extent cx="1469390" cy="255905"/>
          <wp:effectExtent l="0" t="0" r="0" b="0"/>
          <wp:wrapTopAndBottom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3C47" w:rsidRDefault="00123C47">
    <w:pPr>
      <w:spacing w:line="200" w:lineRule="atLeast"/>
      <w:jc w:val="center"/>
      <w:rPr>
        <w:rFonts w:eastAsia="Arial" w:cs="Arial"/>
        <w:b/>
        <w:sz w:val="24"/>
      </w:rPr>
    </w:pPr>
  </w:p>
  <w:p w:rsidR="00123C47" w:rsidRDefault="00F067B4">
    <w:pPr>
      <w:spacing w:line="200" w:lineRule="atLeast"/>
      <w:jc w:val="center"/>
      <w:rPr>
        <w:rFonts w:cs="Arial"/>
        <w:b/>
        <w:sz w:val="24"/>
      </w:rPr>
    </w:pPr>
    <w:r>
      <w:rPr>
        <w:rFonts w:cs="Arial"/>
        <w:b/>
        <w:sz w:val="24"/>
      </w:rPr>
      <w:t xml:space="preserve">MINISTÉRIO DA </w:t>
    </w:r>
    <w:r>
      <w:rPr>
        <w:rFonts w:cs="Arial"/>
        <w:b/>
        <w:sz w:val="24"/>
      </w:rPr>
      <w:t>EDUCAÇÃO</w:t>
    </w:r>
  </w:p>
  <w:p w:rsidR="00123C47" w:rsidRDefault="00F067B4">
    <w:pPr>
      <w:spacing w:line="200" w:lineRule="atLeast"/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SECRETARIA DA EDUCAÇÃO PROFISSIONAL E TECNOLÓGICA</w:t>
    </w:r>
  </w:p>
  <w:p w:rsidR="00123C47" w:rsidRDefault="00F067B4">
    <w:pPr>
      <w:spacing w:line="200" w:lineRule="atLeast"/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INSTITUTO FEDERAL DE EDUCAÇÃO, CIÊNCIA E TECNOLOGIA DO SERTÃO PERNAMBUCANO</w:t>
    </w:r>
  </w:p>
  <w:p w:rsidR="00123C47" w:rsidRDefault="00F067B4">
    <w:pPr>
      <w:spacing w:line="200" w:lineRule="atLeast"/>
      <w:jc w:val="center"/>
      <w:rPr>
        <w:rFonts w:cs="Arial"/>
        <w:b/>
        <w:color w:val="000000"/>
        <w:sz w:val="16"/>
        <w:szCs w:val="16"/>
      </w:rPr>
    </w:pPr>
    <w:r>
      <w:rPr>
        <w:rFonts w:cs="Arial"/>
        <w:b/>
        <w:color w:val="000000"/>
        <w:sz w:val="16"/>
        <w:szCs w:val="16"/>
      </w:rPr>
      <w:t>DIRETORIA DE GESTÃO DE PESSOAS - DGP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91043"/>
    <w:multiLevelType w:val="multilevel"/>
    <w:tmpl w:val="141020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945ABB"/>
    <w:multiLevelType w:val="multilevel"/>
    <w:tmpl w:val="EAB6C80E"/>
    <w:lvl w:ilvl="0">
      <w:start w:val="1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dstrike w:val="0"/>
        <w:color w:val="00000A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00000A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0F6200"/>
    <w:multiLevelType w:val="multilevel"/>
    <w:tmpl w:val="BE123B0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  <w:strike w:val="0"/>
        <w:dstrike w:val="0"/>
        <w:color w:val="00000A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  <w:i w:val="0"/>
        <w:color w:val="00000A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47"/>
    <w:rsid w:val="00123C47"/>
    <w:rsid w:val="007132E2"/>
    <w:rsid w:val="00F0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7124"/>
  <w15:docId w15:val="{A3B6AAB8-CBB8-4B69-B411-74E686C5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070"/>
    <w:rPr>
      <w:rFonts w:ascii="Arial" w:hAnsi="Arial" w:cs="Tahoma"/>
      <w:color w:val="00000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GradeColorida-nfase1Char">
    <w:name w:val="Grade Colorida - Ênfase 1 Char"/>
    <w:uiPriority w:val="29"/>
    <w:qFormat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character" w:customStyle="1" w:styleId="CabealhoChar">
    <w:name w:val="Cabeçalho Char"/>
    <w:basedOn w:val="Fontepargpadro"/>
    <w:link w:val="Cabealho"/>
    <w:qFormat/>
    <w:rsid w:val="00A3644B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A3644B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qFormat/>
    <w:rsid w:val="00453B1D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qFormat/>
    <w:rsid w:val="00453B1D"/>
    <w:rPr>
      <w:rFonts w:ascii="Arial" w:hAnsi="Arial" w:cs="Tahoma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5E4CDC"/>
    <w:rPr>
      <w:rFonts w:ascii="Arial" w:hAnsi="Arial" w:cs="Tahoma"/>
      <w:b/>
      <w:bCs/>
      <w:sz w:val="24"/>
      <w:szCs w:val="24"/>
    </w:rPr>
  </w:style>
  <w:style w:type="character" w:customStyle="1" w:styleId="Nivel01Char">
    <w:name w:val="Nivel 01 Char"/>
    <w:basedOn w:val="Fontepargpadro"/>
    <w:link w:val="Nivel01"/>
    <w:qFormat/>
    <w:rsid w:val="00563CBA"/>
    <w:rPr>
      <w:rFonts w:ascii="Ecofont_Spranq_eco_Sans" w:eastAsiaTheme="majorEastAsia" w:hAnsi="Ecofont_Spranq_eco_Sans"/>
      <w:b/>
      <w:bCs/>
      <w:color w:val="000000"/>
    </w:rPr>
  </w:style>
  <w:style w:type="character" w:customStyle="1" w:styleId="Nivel01Char0">
    <w:name w:val="Nivel_01 Char"/>
    <w:basedOn w:val="Ttulo1Char"/>
    <w:qFormat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i w:val="0"/>
      <w:strike w:val="0"/>
      <w:dstrike w:val="0"/>
      <w:color w:val="00000A"/>
    </w:rPr>
  </w:style>
  <w:style w:type="character" w:customStyle="1" w:styleId="ListLabel3">
    <w:name w:val="ListLabel 3"/>
    <w:qFormat/>
    <w:rPr>
      <w:b/>
      <w:i w:val="0"/>
      <w:color w:val="00000A"/>
    </w:rPr>
  </w:style>
  <w:style w:type="character" w:customStyle="1" w:styleId="ListLabel4">
    <w:name w:val="ListLabel 4"/>
    <w:qFormat/>
    <w:rPr>
      <w:rFonts w:eastAsia="Arial Unicode MS"/>
    </w:rPr>
  </w:style>
  <w:style w:type="character" w:customStyle="1" w:styleId="ListLabel5">
    <w:name w:val="ListLabel 5"/>
    <w:qFormat/>
    <w:rPr>
      <w:rFonts w:eastAsia="Arial Unicode MS"/>
    </w:rPr>
  </w:style>
  <w:style w:type="character" w:customStyle="1" w:styleId="ListLabel6">
    <w:name w:val="ListLabel 6"/>
    <w:qFormat/>
    <w:rPr>
      <w:rFonts w:eastAsia="Arial Unicode MS"/>
    </w:rPr>
  </w:style>
  <w:style w:type="character" w:customStyle="1" w:styleId="ListLabel7">
    <w:name w:val="ListLabel 7"/>
    <w:qFormat/>
    <w:rPr>
      <w:rFonts w:eastAsia="Arial Unicode MS"/>
    </w:rPr>
  </w:style>
  <w:style w:type="character" w:customStyle="1" w:styleId="ListLabel8">
    <w:name w:val="ListLabel 8"/>
    <w:qFormat/>
    <w:rPr>
      <w:rFonts w:eastAsia="Arial Unicode MS"/>
    </w:rPr>
  </w:style>
  <w:style w:type="character" w:customStyle="1" w:styleId="ListLabel9">
    <w:name w:val="ListLabel 9"/>
    <w:qFormat/>
    <w:rPr>
      <w:rFonts w:eastAsia="Arial Unicode MS"/>
    </w:rPr>
  </w:style>
  <w:style w:type="character" w:customStyle="1" w:styleId="ListLabel10">
    <w:name w:val="ListLabel 10"/>
    <w:qFormat/>
    <w:rPr>
      <w:rFonts w:eastAsia="Arial Unicode MS"/>
    </w:rPr>
  </w:style>
  <w:style w:type="character" w:customStyle="1" w:styleId="ListLabel11">
    <w:name w:val="ListLabel 11"/>
    <w:qFormat/>
    <w:rPr>
      <w:rFonts w:eastAsia="Arial Unicode MS"/>
    </w:rPr>
  </w:style>
  <w:style w:type="character" w:customStyle="1" w:styleId="ListLabel12">
    <w:name w:val="ListLabel 12"/>
    <w:qFormat/>
    <w:rPr>
      <w:rFonts w:eastAsia="Arial Unicode MS"/>
    </w:rPr>
  </w:style>
  <w:style w:type="character" w:customStyle="1" w:styleId="ListLabel13">
    <w:name w:val="ListLabel 13"/>
    <w:qFormat/>
    <w:rPr>
      <w:rFonts w:cs="Arial"/>
      <w:i/>
      <w:color w:val="FF0000"/>
    </w:rPr>
  </w:style>
  <w:style w:type="character" w:customStyle="1" w:styleId="ListLabel14">
    <w:name w:val="ListLabel 14"/>
    <w:qFormat/>
    <w:rPr>
      <w:rFonts w:cs="Arial"/>
      <w:i/>
      <w:color w:val="FF0000"/>
    </w:rPr>
  </w:style>
  <w:style w:type="character" w:customStyle="1" w:styleId="ListLabel15">
    <w:name w:val="ListLabel 15"/>
    <w:qFormat/>
    <w:rPr>
      <w:rFonts w:cs="Arial"/>
      <w:i/>
      <w:color w:val="FF0000"/>
    </w:rPr>
  </w:style>
  <w:style w:type="character" w:customStyle="1" w:styleId="ListLabel16">
    <w:name w:val="ListLabel 16"/>
    <w:qFormat/>
    <w:rPr>
      <w:rFonts w:cs="Arial"/>
      <w:i/>
      <w:color w:val="FF0000"/>
    </w:rPr>
  </w:style>
  <w:style w:type="character" w:customStyle="1" w:styleId="ListLabel17">
    <w:name w:val="ListLabel 17"/>
    <w:qFormat/>
    <w:rPr>
      <w:rFonts w:cs="Arial"/>
      <w:i/>
      <w:color w:val="FF0000"/>
    </w:rPr>
  </w:style>
  <w:style w:type="character" w:customStyle="1" w:styleId="ListLabel18">
    <w:name w:val="ListLabel 18"/>
    <w:qFormat/>
    <w:rPr>
      <w:rFonts w:cs="Arial"/>
      <w:i/>
      <w:color w:val="FF0000"/>
    </w:rPr>
  </w:style>
  <w:style w:type="character" w:customStyle="1" w:styleId="ListLabel19">
    <w:name w:val="ListLabel 19"/>
    <w:qFormat/>
    <w:rPr>
      <w:rFonts w:cs="Arial"/>
      <w:i/>
      <w:color w:val="FF0000"/>
    </w:rPr>
  </w:style>
  <w:style w:type="character" w:customStyle="1" w:styleId="ListLabel20">
    <w:name w:val="ListLabel 20"/>
    <w:qFormat/>
    <w:rPr>
      <w:rFonts w:cs="Arial"/>
      <w:i/>
      <w:color w:val="FF0000"/>
    </w:rPr>
  </w:style>
  <w:style w:type="character" w:customStyle="1" w:styleId="ListLabel21">
    <w:name w:val="ListLabel 21"/>
    <w:qFormat/>
    <w:rPr>
      <w:rFonts w:cs="Arial"/>
      <w:i/>
      <w:color w:val="FF0000"/>
    </w:rPr>
  </w:style>
  <w:style w:type="character" w:customStyle="1" w:styleId="ListLabel22">
    <w:name w:val="ListLabel 22"/>
    <w:qFormat/>
    <w:rPr>
      <w:color w:val="0000FF"/>
    </w:rPr>
  </w:style>
  <w:style w:type="character" w:customStyle="1" w:styleId="ListLabel23">
    <w:name w:val="ListLabel 23"/>
    <w:qFormat/>
    <w:rPr>
      <w:color w:val="0000FF"/>
    </w:rPr>
  </w:style>
  <w:style w:type="character" w:customStyle="1" w:styleId="ListLabel24">
    <w:name w:val="ListLabel 24"/>
    <w:qFormat/>
    <w:rPr>
      <w:color w:val="0000FF"/>
    </w:rPr>
  </w:style>
  <w:style w:type="character" w:customStyle="1" w:styleId="ListLabel25">
    <w:name w:val="ListLabel 25"/>
    <w:qFormat/>
    <w:rPr>
      <w:color w:val="0000FF"/>
    </w:rPr>
  </w:style>
  <w:style w:type="character" w:customStyle="1" w:styleId="ListLabel26">
    <w:name w:val="ListLabel 26"/>
    <w:qFormat/>
    <w:rPr>
      <w:color w:val="0000FF"/>
    </w:rPr>
  </w:style>
  <w:style w:type="character" w:customStyle="1" w:styleId="ListLabel27">
    <w:name w:val="ListLabel 27"/>
    <w:qFormat/>
    <w:rPr>
      <w:color w:val="0000FF"/>
    </w:rPr>
  </w:style>
  <w:style w:type="character" w:customStyle="1" w:styleId="ListLabel28">
    <w:name w:val="ListLabel 28"/>
    <w:qFormat/>
    <w:rPr>
      <w:color w:val="0000FF"/>
    </w:rPr>
  </w:style>
  <w:style w:type="character" w:customStyle="1" w:styleId="ListLabel29">
    <w:name w:val="ListLabel 29"/>
    <w:qFormat/>
    <w:rPr>
      <w:color w:val="0000FF"/>
    </w:rPr>
  </w:style>
  <w:style w:type="character" w:customStyle="1" w:styleId="ListLabel30">
    <w:name w:val="ListLabel 30"/>
    <w:qFormat/>
    <w:rPr>
      <w:color w:val="0000FF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/>
      <w:i w:val="0"/>
    </w:rPr>
  </w:style>
  <w:style w:type="character" w:customStyle="1" w:styleId="ListLabel41">
    <w:name w:val="ListLabel 41"/>
    <w:qFormat/>
    <w:rPr>
      <w:b/>
      <w:i w:val="0"/>
      <w:color w:val="00000A"/>
    </w:rPr>
  </w:style>
  <w:style w:type="character" w:customStyle="1" w:styleId="ListLabel42">
    <w:name w:val="ListLabel 42"/>
    <w:qFormat/>
    <w:rPr>
      <w:b/>
      <w:i w:val="0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b/>
      <w:i w:val="0"/>
    </w:rPr>
  </w:style>
  <w:style w:type="character" w:customStyle="1" w:styleId="ListLabel45">
    <w:name w:val="ListLabel 45"/>
    <w:qFormat/>
    <w:rPr>
      <w:b/>
      <w:i w:val="0"/>
    </w:rPr>
  </w:style>
  <w:style w:type="character" w:customStyle="1" w:styleId="ListLabel46">
    <w:name w:val="ListLabel 46"/>
    <w:qFormat/>
    <w:rPr>
      <w:b/>
      <w:i w:val="0"/>
      <w:color w:val="00000A"/>
    </w:rPr>
  </w:style>
  <w:style w:type="character" w:customStyle="1" w:styleId="ListLabel47">
    <w:name w:val="ListLabel 47"/>
    <w:qFormat/>
    <w:rPr>
      <w:b w:val="0"/>
      <w:i w:val="0"/>
    </w:rPr>
  </w:style>
  <w:style w:type="character" w:customStyle="1" w:styleId="ListLabel48">
    <w:name w:val="ListLabel 48"/>
    <w:qFormat/>
    <w:rPr>
      <w:b/>
      <w:i w:val="0"/>
    </w:rPr>
  </w:style>
  <w:style w:type="character" w:customStyle="1" w:styleId="ListLabel49">
    <w:name w:val="ListLabel 49"/>
    <w:qFormat/>
    <w:rPr>
      <w:b/>
      <w:i w:val="0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b w:val="0"/>
      <w:i w:val="0"/>
      <w:color w:val="00000A"/>
    </w:rPr>
  </w:style>
  <w:style w:type="character" w:customStyle="1" w:styleId="ListLabel52">
    <w:name w:val="ListLabel 52"/>
    <w:qFormat/>
    <w:rPr>
      <w:b w:val="0"/>
      <w:i w:val="0"/>
      <w:color w:val="00000A"/>
    </w:rPr>
  </w:style>
  <w:style w:type="character" w:customStyle="1" w:styleId="ListLabel53">
    <w:name w:val="ListLabel 53"/>
    <w:qFormat/>
    <w:rPr>
      <w:b w:val="0"/>
      <w:i w:val="0"/>
      <w:color w:val="00000A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 w:val="0"/>
      <w:color w:val="00000A"/>
    </w:rPr>
  </w:style>
  <w:style w:type="character" w:customStyle="1" w:styleId="ListLabel56">
    <w:name w:val="ListLabel 56"/>
    <w:qFormat/>
    <w:rPr>
      <w:b w:val="0"/>
      <w:i w:val="0"/>
      <w:color w:val="00000A"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 w:val="0"/>
      <w:i w:val="0"/>
      <w:strike w:val="0"/>
      <w:dstrike w:val="0"/>
      <w:color w:val="00000A"/>
    </w:rPr>
  </w:style>
  <w:style w:type="character" w:customStyle="1" w:styleId="ListLabel59">
    <w:name w:val="ListLabel 59"/>
    <w:qFormat/>
    <w:rPr>
      <w:b w:val="0"/>
      <w:i w:val="0"/>
      <w:color w:val="00000A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 w:val="0"/>
      <w:i w:val="0"/>
      <w:strike w:val="0"/>
      <w:dstrike w:val="0"/>
      <w:color w:val="00000A"/>
    </w:rPr>
  </w:style>
  <w:style w:type="character" w:customStyle="1" w:styleId="ListLabel62">
    <w:name w:val="ListLabel 62"/>
    <w:qFormat/>
    <w:rPr>
      <w:b w:val="0"/>
      <w:i w:val="0"/>
      <w:color w:val="00000A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sz w:val="20"/>
      <w:szCs w:val="20"/>
    </w:rPr>
  </w:style>
  <w:style w:type="character" w:customStyle="1" w:styleId="ListLabel66">
    <w:name w:val="ListLabel 66"/>
    <w:qFormat/>
    <w:rPr>
      <w:b w:val="0"/>
      <w:i/>
      <w:color w:val="FF0000"/>
      <w:sz w:val="20"/>
      <w:szCs w:val="20"/>
    </w:rPr>
  </w:style>
  <w:style w:type="character" w:customStyle="1" w:styleId="ListLabel67">
    <w:name w:val="ListLabel 67"/>
    <w:qFormat/>
    <w:rPr>
      <w:b w:val="0"/>
      <w:color w:val="00000A"/>
      <w:sz w:val="20"/>
      <w:szCs w:val="20"/>
    </w:rPr>
  </w:style>
  <w:style w:type="character" w:customStyle="1" w:styleId="ListLabel68">
    <w:name w:val="ListLabel 68"/>
    <w:qFormat/>
    <w:rPr>
      <w:sz w:val="20"/>
      <w:szCs w:val="20"/>
    </w:rPr>
  </w:style>
  <w:style w:type="character" w:customStyle="1" w:styleId="ListLabel69">
    <w:name w:val="ListLabel 69"/>
    <w:qFormat/>
    <w:rPr>
      <w:b w:val="0"/>
      <w:i w:val="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 w:val="0"/>
      <w:i w:val="0"/>
      <w:strike w:val="0"/>
      <w:dstrike w:val="0"/>
      <w:color w:val="00000A"/>
    </w:rPr>
  </w:style>
  <w:style w:type="character" w:customStyle="1" w:styleId="ListLabel73">
    <w:name w:val="ListLabel 73"/>
    <w:qFormat/>
    <w:rPr>
      <w:b w:val="0"/>
      <w:i w:val="0"/>
      <w:color w:val="00000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 w:val="0"/>
      <w:i w:val="0"/>
      <w:strike w:val="0"/>
      <w:dstrike w:val="0"/>
      <w:color w:val="00000A"/>
    </w:rPr>
  </w:style>
  <w:style w:type="character" w:customStyle="1" w:styleId="ListLabel76">
    <w:name w:val="ListLabel 76"/>
    <w:qFormat/>
    <w:rPr>
      <w:b w:val="0"/>
      <w:i w:val="0"/>
      <w:color w:val="00000A"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  <w:i w:val="0"/>
      <w:strike w:val="0"/>
      <w:dstrike w:val="0"/>
      <w:color w:val="00000A"/>
    </w:rPr>
  </w:style>
  <w:style w:type="character" w:customStyle="1" w:styleId="ListLabel79">
    <w:name w:val="ListLabel 79"/>
    <w:qFormat/>
    <w:rPr>
      <w:b w:val="0"/>
      <w:i w:val="0"/>
      <w:color w:val="00000A"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  <w:i w:val="0"/>
      <w:strike w:val="0"/>
      <w:dstrike w:val="0"/>
      <w:color w:val="00000A"/>
    </w:rPr>
  </w:style>
  <w:style w:type="character" w:customStyle="1" w:styleId="ListLabel82">
    <w:name w:val="ListLabel 82"/>
    <w:qFormat/>
    <w:rPr>
      <w:b/>
      <w:i w:val="0"/>
      <w:color w:val="00000A"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 w:val="0"/>
      <w:i w:val="0"/>
      <w:strike w:val="0"/>
      <w:dstrike w:val="0"/>
      <w:color w:val="00000A"/>
    </w:rPr>
  </w:style>
  <w:style w:type="character" w:customStyle="1" w:styleId="ListLabel85">
    <w:name w:val="ListLabel 85"/>
    <w:qFormat/>
    <w:rPr>
      <w:b w:val="0"/>
      <w:i w:val="0"/>
      <w:color w:val="00000A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i w:val="0"/>
      <w:strike w:val="0"/>
      <w:dstrike w:val="0"/>
      <w:color w:val="00000A"/>
    </w:rPr>
  </w:style>
  <w:style w:type="character" w:customStyle="1" w:styleId="ListLabel88">
    <w:name w:val="ListLabel 88"/>
    <w:qFormat/>
    <w:rPr>
      <w:b w:val="0"/>
      <w:i w:val="0"/>
      <w:color w:val="00000A"/>
    </w:rPr>
  </w:style>
  <w:style w:type="character" w:customStyle="1" w:styleId="ListLabel89">
    <w:name w:val="ListLabel 89"/>
    <w:qFormat/>
    <w:rPr>
      <w:b/>
      <w:i w:val="0"/>
      <w:color w:val="00000A"/>
    </w:rPr>
  </w:style>
  <w:style w:type="character" w:customStyle="1" w:styleId="ListLabel90">
    <w:name w:val="ListLabel 90"/>
    <w:qFormat/>
    <w:rPr>
      <w:b/>
      <w:bCs/>
      <w:i w:val="0"/>
      <w:strike w:val="0"/>
      <w:dstrike w:val="0"/>
      <w:color w:val="00000A"/>
    </w:rPr>
  </w:style>
  <w:style w:type="character" w:customStyle="1" w:styleId="ListLabel91">
    <w:name w:val="ListLabel 91"/>
    <w:qFormat/>
    <w:rPr>
      <w:b/>
      <w:i w:val="0"/>
      <w:color w:val="00000A"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 w:val="0"/>
      <w:i w:val="0"/>
      <w:strike w:val="0"/>
      <w:dstrike w:val="0"/>
      <w:color w:val="00000A"/>
    </w:rPr>
  </w:style>
  <w:style w:type="character" w:customStyle="1" w:styleId="ListLabel94">
    <w:name w:val="ListLabel 94"/>
    <w:qFormat/>
    <w:rPr>
      <w:b w:val="0"/>
      <w:i w:val="0"/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qFormat/>
    <w:rsid w:val="003A73C1"/>
    <w:rPr>
      <w:rFonts w:ascii="Tahoma" w:hAnsi="Tahoma"/>
      <w:sz w:val="16"/>
      <w:szCs w:val="16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paragraph" w:styleId="Commarcadores5">
    <w:name w:val="List Bullet 5"/>
    <w:basedOn w:val="Normal"/>
    <w:qFormat/>
    <w:rsid w:val="001A3A05"/>
    <w:p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next w:val="Normal"/>
    <w:link w:val="Nivel1Char"/>
    <w:qFormat/>
    <w:rsid w:val="00DE7070"/>
    <w:pPr>
      <w:spacing w:before="480" w:after="120" w:line="276" w:lineRule="auto"/>
      <w:ind w:left="357" w:hanging="357"/>
      <w:jc w:val="both"/>
    </w:pPr>
    <w:rPr>
      <w:rFonts w:ascii="Arial" w:hAnsi="Arial" w:cs="Arial"/>
      <w:b/>
      <w:color w:val="000000"/>
      <w:sz w:val="20"/>
      <w:szCs w:val="20"/>
    </w:rPr>
  </w:style>
  <w:style w:type="paragraph" w:styleId="Textodecomentrio">
    <w:name w:val="annotation text"/>
    <w:basedOn w:val="Normal"/>
    <w:link w:val="TextodecomentrioChar"/>
    <w:unhideWhenUsed/>
    <w:qFormat/>
    <w:rsid w:val="00453B1D"/>
    <w:rPr>
      <w:sz w:val="24"/>
    </w:rPr>
  </w:style>
  <w:style w:type="paragraph" w:styleId="Assuntodocomentrio">
    <w:name w:val="annotation subject"/>
    <w:basedOn w:val="Textodecomentrio"/>
    <w:link w:val="AssuntodocomentrioChar"/>
    <w:semiHidden/>
    <w:unhideWhenUsed/>
    <w:qFormat/>
    <w:rsid w:val="005E4CDC"/>
    <w:rPr>
      <w:b/>
      <w:bCs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Nivel010">
    <w:name w:val="Nivel_01"/>
    <w:basedOn w:val="Ttulo1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A"/>
      <w:sz w:val="20"/>
      <w:szCs w:val="20"/>
    </w:rPr>
  </w:style>
  <w:style w:type="paragraph" w:customStyle="1" w:styleId="SombreamentoMdio1-nfase31">
    <w:name w:val="Sombreamento Médio 1 - Ênfase 31"/>
    <w:basedOn w:val="Normal"/>
    <w:next w:val="Normal"/>
    <w:qFormat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table" w:styleId="Tabelacomgrade">
    <w:name w:val="Table Grid"/>
    <w:basedOn w:val="Tabelanormal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3583-6B98-4077-9C7C-B39895FE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D44864-29D4-4772-AAA4-41C7D8CC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2548</Words>
  <Characters>13765</Characters>
  <Application>Microsoft Office Word</Application>
  <DocSecurity>0</DocSecurity>
  <Lines>114</Lines>
  <Paragraphs>32</Paragraphs>
  <ScaleCrop>false</ScaleCrop>
  <Company>EDUARDO DOTTI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dc:description/>
  <cp:lastModifiedBy>Dir. DGP</cp:lastModifiedBy>
  <cp:revision>10</cp:revision>
  <cp:lastPrinted>2018-12-20T16:54:00Z</cp:lastPrinted>
  <dcterms:created xsi:type="dcterms:W3CDTF">2018-12-20T16:55:00Z</dcterms:created>
  <dcterms:modified xsi:type="dcterms:W3CDTF">2019-07-02T14:35:00Z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EDUARDO DOTTI</vt:lpwstr>
  </property>
  <property fmtid="{D5CDD505-2E9C-101B-9397-08002B2CF9AE}" pid="4" name="ContentTypeId">
    <vt:lpwstr>0x01010012A2765E7DFD38469B2E626874CD0041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