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after="0" w:before="0" w:lineRule="auto"/>
        <w:jc w:val="center"/>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002">
      <w:pPr>
        <w:spacing w:after="0" w:before="0" w:lineRule="auto"/>
        <w:jc w:val="center"/>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003">
      <w:pPr>
        <w:spacing w:after="0" w:before="0" w:lineRule="auto"/>
        <w:jc w:val="left"/>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004">
      <w:pPr>
        <w:spacing w:after="0" w:before="0" w:lineRule="auto"/>
        <w:jc w:val="left"/>
        <w:rPr>
          <w:rFonts w:ascii="Arial" w:cs="Arial" w:eastAsia="Arial" w:hAnsi="Arial"/>
          <w:b w:val="1"/>
          <w:sz w:val="26"/>
          <w:szCs w:val="26"/>
        </w:rPr>
      </w:pPr>
      <w:r w:rsidDel="00000000" w:rsidR="00000000" w:rsidRPr="00000000">
        <w:rPr>
          <w:rtl w:val="0"/>
        </w:rPr>
      </w:r>
    </w:p>
    <w:tbl>
      <w:tblPr>
        <w:tblStyle w:val="Table1"/>
        <w:tblW w:w="9640.0" w:type="dxa"/>
        <w:jc w:val="left"/>
        <w:tblInd w:w="0.0" w:type="dxa"/>
        <w:tblBorders>
          <w:top w:color="000000" w:space="0" w:sz="2" w:val="single"/>
          <w:left w:color="000000" w:space="0" w:sz="2" w:val="single"/>
          <w:bottom w:color="000000" w:space="0" w:sz="2" w:val="single"/>
          <w:right w:color="000000" w:space="0" w:sz="2" w:val="single"/>
          <w:insideH w:color="000000" w:space="0" w:sz="2" w:val="single"/>
          <w:insideV w:color="000000" w:space="0" w:sz="2" w:val="single"/>
        </w:tblBorders>
        <w:tblLayout w:type="fixed"/>
        <w:tblLook w:val="0000"/>
      </w:tblPr>
      <w:tblGrid>
        <w:gridCol w:w="9640"/>
        <w:tblGridChange w:id="0">
          <w:tblGrid>
            <w:gridCol w:w="9640"/>
          </w:tblGrid>
        </w:tblGridChange>
      </w:tblGrid>
      <w:tr>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highlight w:val="yellow"/>
                <w:u w:val="none"/>
                <w:vertAlign w:val="baseline"/>
                <w:rtl w:val="0"/>
              </w:rPr>
              <w:t xml:space="preserve"> </w:t>
            </w:r>
            <w:r w:rsidDel="00000000" w:rsidR="00000000" w:rsidRPr="00000000">
              <w:rPr>
                <w:rFonts w:ascii="Times" w:cs="Times" w:eastAsia="Times" w:hAnsi="Times"/>
                <w:b w:val="1"/>
                <w:i w:val="0"/>
                <w:smallCaps w:val="0"/>
                <w:strike w:val="0"/>
                <w:color w:val="000000"/>
                <w:sz w:val="24"/>
                <w:szCs w:val="24"/>
                <w:highlight w:val="yellow"/>
                <w:u w:val="none"/>
                <w:vertAlign w:val="baseline"/>
                <w:rtl w:val="0"/>
              </w:rPr>
              <w:t xml:space="preserve">DESCRIÇÃO DA SOLUÇÃO COMO UM TODO:</w:t>
            </w:r>
            <w:r w:rsidDel="00000000" w:rsidR="00000000" w:rsidRPr="00000000">
              <w:rPr>
                <w:rFonts w:ascii="Times" w:cs="Times" w:eastAsia="Times" w:hAnsi="Times"/>
                <w:b w:val="0"/>
                <w:i w:val="0"/>
                <w:smallCaps w:val="0"/>
                <w:strike w:val="0"/>
                <w:color w:val="000000"/>
                <w:sz w:val="24"/>
                <w:szCs w:val="24"/>
                <w:highlight w:val="yellow"/>
                <w:u w:val="none"/>
                <w:vertAlign w:val="baseline"/>
                <w:rtl w:val="0"/>
              </w:rPr>
              <w:t xml:space="preserve"> </w:t>
            </w:r>
            <w:r w:rsidDel="00000000" w:rsidR="00000000" w:rsidRPr="00000000">
              <w:rPr>
                <w:rFonts w:ascii="Rawline" w:cs="Rawline" w:eastAsia="Rawline" w:hAnsi="Rawline"/>
                <w:b w:val="0"/>
                <w:i w:val="1"/>
                <w:smallCaps w:val="0"/>
                <w:strike w:val="0"/>
                <w:color w:val="333333"/>
                <w:sz w:val="18"/>
                <w:szCs w:val="18"/>
                <w:u w:val="none"/>
                <w:shd w:fill="auto" w:val="clear"/>
                <w:vertAlign w:val="baseline"/>
                <w:rtl w:val="0"/>
              </w:rPr>
              <w:t xml:space="preserve">(Definir a descrição da solução como um todo, inclusive das exigências relacionadas à manutenção e à assistência técnica, quando for o caso, acompanhada das justificativas técnica e econômica da escolha do tipo de solução. (inciso IV, art. 7º, IN 40/2020). De acordo com o art. 7o, §2o, este campo é obrigatório)</w:t>
            </w: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awline" w:cs="Rawline" w:eastAsia="Rawline" w:hAnsi="Rawline"/>
                <w:i w:val="1"/>
                <w:color w:val="333333"/>
                <w:sz w:val="18"/>
                <w:szCs w:val="18"/>
              </w:rPr>
            </w:pPr>
            <w:r w:rsidDel="00000000" w:rsidR="00000000" w:rsidRPr="00000000">
              <w:rPr>
                <w:rtl w:val="0"/>
              </w:rPr>
            </w:r>
          </w:p>
          <w:p w:rsidR="00000000" w:rsidDel="00000000" w:rsidP="00000000" w:rsidRDefault="00000000" w:rsidRPr="00000000" w14:paraId="00000007">
            <w:pPr>
              <w:spacing w:line="276" w:lineRule="auto"/>
              <w:jc w:val="both"/>
              <w:rPr>
                <w:rFonts w:ascii="Rawline" w:cs="Rawline" w:eastAsia="Rawline" w:hAnsi="Rawline"/>
                <w:color w:val="333333"/>
                <w:sz w:val="18"/>
                <w:szCs w:val="18"/>
              </w:rPr>
            </w:pPr>
            <w:r w:rsidDel="00000000" w:rsidR="00000000" w:rsidRPr="00000000">
              <w:rPr>
                <w:rFonts w:ascii="Arial" w:cs="Arial" w:eastAsia="Arial" w:hAnsi="Arial"/>
                <w:sz w:val="22"/>
                <w:szCs w:val="22"/>
                <w:rtl w:val="0"/>
              </w:rPr>
              <w:t xml:space="preserve">A descrição da solução como um todo abrange a aquisição de vidrarias para atender as demandas dos Campi do IF Sertão Pernambucano. Vidrarias são utensílios cruciais na realização de qualquer análise laboratorial sendo, portanto, essenciais para uma boa aprendizagem nas aulas práticas. Esses objetos a serem adquiridos devem ser compostos por um tipo de vidro que não reage com a maioria das substâncias usadas em laboratório e podem ser submetidos ao aquecimento direto ou indireto sem quebrar adquirindo resistência mecânica ao calor, ao choque térmico e aos produtos químicos. A carência desses materiais torna inviável todo investimento nessas atividades educacionais específicas. Assim, a resposta econômica diante esta aquisição é o foco na geração de novas tecnologias, respondendo de forma ágil às demandas crescentes por formação profissional, dando suporte aos arranjos produtivos regionais.</w:t>
            </w: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awline" w:cs="Rawline" w:eastAsia="Rawline" w:hAnsi="Rawline"/>
                <w:b w:val="0"/>
                <w:i w:val="1"/>
                <w:smallCaps w:val="0"/>
                <w:strike w:val="0"/>
                <w:color w:val="333333"/>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awline" w:cs="Rawline" w:eastAsia="Rawline" w:hAnsi="Rawline"/>
                <w:b w:val="0"/>
                <w:i w:val="1"/>
                <w:smallCaps w:val="0"/>
                <w:strike w:val="0"/>
                <w:color w:val="333333"/>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awline" w:cs="Rawline" w:eastAsia="Rawline" w:hAnsi="Rawline"/>
                <w:b w:val="0"/>
                <w:i w:val="1"/>
                <w:smallCaps w:val="0"/>
                <w:strike w:val="0"/>
                <w:color w:val="333333"/>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awline" w:cs="Rawline" w:eastAsia="Rawline" w:hAnsi="Rawline"/>
                <w:b w:val="0"/>
                <w:i w:val="1"/>
                <w:smallCaps w:val="0"/>
                <w:strike w:val="0"/>
                <w:color w:val="333333"/>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awline" w:cs="Rawline" w:eastAsia="Rawline" w:hAnsi="Rawline"/>
                <w:b w:val="0"/>
                <w:i w:val="1"/>
                <w:smallCaps w:val="0"/>
                <w:strike w:val="0"/>
                <w:color w:val="333333"/>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00D">
      <w:pPr>
        <w:spacing w:after="0" w:before="0" w:lineRule="auto"/>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0E">
      <w:pPr>
        <w:spacing w:after="0" w:before="0" w:lineRule="auto"/>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0F">
      <w:pPr>
        <w:spacing w:after="0" w:before="0" w:lineRule="auto"/>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10">
      <w:pPr>
        <w:spacing w:after="0" w:before="0" w:lineRule="auto"/>
        <w:jc w:val="center"/>
        <w:rPr>
          <w:rFonts w:ascii="Arial" w:cs="Arial" w:eastAsia="Arial" w:hAnsi="Arial"/>
          <w:b w:val="1"/>
          <w:sz w:val="26"/>
          <w:szCs w:val="26"/>
        </w:rPr>
      </w:pPr>
      <w:r w:rsidDel="00000000" w:rsidR="00000000" w:rsidRPr="00000000">
        <w:rPr>
          <w:rtl w:val="0"/>
        </w:rPr>
      </w:r>
    </w:p>
    <w:sectPr>
      <w:headerReference r:id="rId6" w:type="default"/>
      <w:pgSz w:h="16838" w:w="11906"/>
      <w:pgMar w:bottom="1134" w:top="3045" w:left="1134" w:right="1134" w:header="1134"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w:font w:name="Rawline"/>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spacing w:after="0" w:before="0" w:lineRule="auto"/>
      <w:jc w:val="center"/>
      <w:rPr>
        <w:rFonts w:ascii="Arial" w:cs="Arial" w:eastAsia="Arial" w:hAnsi="Arial"/>
        <w:b w:val="1"/>
        <w:sz w:val="24"/>
        <w:szCs w:val="24"/>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2842260</wp:posOffset>
          </wp:positionH>
          <wp:positionV relativeFrom="paragraph">
            <wp:posOffset>-367029</wp:posOffset>
          </wp:positionV>
          <wp:extent cx="668020" cy="655320"/>
          <wp:effectExtent b="0" l="0" r="0" t="0"/>
          <wp:wrapTopAndBottom distB="0" distT="0"/>
          <wp:docPr id="1" name="image2.jpg"/>
          <a:graphic>
            <a:graphicData uri="http://schemas.openxmlformats.org/drawingml/2006/picture">
              <pic:pic>
                <pic:nvPicPr>
                  <pic:cNvPr id="0" name="image2.jpg"/>
                  <pic:cNvPicPr preferRelativeResize="0"/>
                </pic:nvPicPr>
                <pic:blipFill>
                  <a:blip r:embed="rId1"/>
                  <a:srcRect b="-180" l="-179" r="-179" t="-181"/>
                  <a:stretch>
                    <a:fillRect/>
                  </a:stretch>
                </pic:blipFill>
                <pic:spPr>
                  <a:xfrm>
                    <a:off x="0" y="0"/>
                    <a:ext cx="668020" cy="655320"/>
                  </a:xfrm>
                  <a:prstGeom prst="rect"/>
                  <a:ln/>
                </pic:spPr>
              </pic:pic>
            </a:graphicData>
          </a:graphic>
        </wp:anchor>
      </w:drawing>
    </w:r>
    <w:r w:rsidDel="00000000" w:rsidR="00000000" w:rsidRPr="00000000">
      <w:drawing>
        <wp:anchor allowOverlap="1" behindDoc="0" distB="0" distT="0" distL="0" distR="0" hidden="0" layoutInCell="1" locked="0" relativeHeight="0" simplePos="0">
          <wp:simplePos x="0" y="0"/>
          <wp:positionH relativeFrom="column">
            <wp:posOffset>-6984</wp:posOffset>
          </wp:positionH>
          <wp:positionV relativeFrom="paragraph">
            <wp:posOffset>-2539</wp:posOffset>
          </wp:positionV>
          <wp:extent cx="1381125" cy="360680"/>
          <wp:effectExtent b="0" l="0" r="0" t="0"/>
          <wp:wrapTopAndBottom distB="0" distT="0"/>
          <wp:docPr id="2" name="image1.png"/>
          <a:graphic>
            <a:graphicData uri="http://schemas.openxmlformats.org/drawingml/2006/picture">
              <pic:pic>
                <pic:nvPicPr>
                  <pic:cNvPr id="0" name="image1.png"/>
                  <pic:cNvPicPr preferRelativeResize="0"/>
                </pic:nvPicPr>
                <pic:blipFill>
                  <a:blip r:embed="rId2"/>
                  <a:srcRect b="-201" l="-52" r="-52" t="-202"/>
                  <a:stretch>
                    <a:fillRect/>
                  </a:stretch>
                </pic:blipFill>
                <pic:spPr>
                  <a:xfrm>
                    <a:off x="0" y="0"/>
                    <a:ext cx="1381125" cy="360680"/>
                  </a:xfrm>
                  <a:prstGeom prst="rect"/>
                  <a:ln/>
                </pic:spPr>
              </pic:pic>
            </a:graphicData>
          </a:graphic>
        </wp:anchor>
      </w:drawing>
    </w:r>
  </w:p>
  <w:p w:rsidR="00000000" w:rsidDel="00000000" w:rsidP="00000000" w:rsidRDefault="00000000" w:rsidRPr="00000000" w14:paraId="00000012">
    <w:pPr>
      <w:spacing w:after="0" w:before="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3">
    <w:pPr>
      <w:spacing w:after="0" w:before="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MINISTÉRIO DA EDUCAÇÃO</w:t>
    </w:r>
  </w:p>
  <w:p w:rsidR="00000000" w:rsidDel="00000000" w:rsidP="00000000" w:rsidRDefault="00000000" w:rsidRPr="00000000" w14:paraId="00000014">
    <w:pPr>
      <w:spacing w:after="0" w:before="0"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SECRETARIA DE EDUCAÇÃO PROFISSIONAL E TECNOLÓGICA</w:t>
    </w:r>
  </w:p>
  <w:p w:rsidR="00000000" w:rsidDel="00000000" w:rsidP="00000000" w:rsidRDefault="00000000" w:rsidRPr="00000000" w14:paraId="00000015">
    <w:pPr>
      <w:spacing w:after="0" w:before="0"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INSTITUTO FEDERAL DE EDUCAÇÃO, CIÊNCIA E TECNOLOGIA DO SERTÃO PERNAMBUCANO</w:t>
    </w:r>
  </w:p>
  <w:p w:rsidR="00000000" w:rsidDel="00000000" w:rsidP="00000000" w:rsidRDefault="00000000" w:rsidRPr="00000000" w14:paraId="00000016">
    <w:pPr>
      <w:spacing w:after="0" w:before="0"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DEPARTAMENTO E GESTÃO DE RISCOS DE AQUISIÇÕES – DPGRA</w:t>
    </w:r>
  </w:p>
  <w:p w:rsidR="00000000" w:rsidDel="00000000" w:rsidP="00000000" w:rsidRDefault="00000000" w:rsidRPr="00000000" w14:paraId="00000017">
    <w:pPr>
      <w:spacing w:after="0" w:before="0"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REITORIA</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imes" w:cs="Times" w:eastAsia="Times" w:hAnsi="Times"/>
        <w:sz w:val="24"/>
        <w:szCs w:val="24"/>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55.0" w:type="dxa"/>
        <w:left w:w="54.0" w:type="dxa"/>
        <w:bottom w:w="55.0" w:type="dxa"/>
        <w:right w:w="5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