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47" w:rsidRDefault="00351147">
      <w:pPr>
        <w:pStyle w:val="normal0"/>
        <w:pBdr>
          <w:top w:val="nil"/>
          <w:left w:val="nil"/>
          <w:bottom w:val="nil"/>
          <w:right w:val="nil"/>
          <w:between w:val="nil"/>
        </w:pBdr>
        <w:jc w:val="center"/>
        <w:rPr>
          <w:color w:val="000000"/>
        </w:rPr>
      </w:pPr>
    </w:p>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DIÁRIAS, HORAS EXTRAS E ADICIONAL NOTURNO PARA O POSTO DE MOTORISTA – CONTRAÇÃO DE APOIO ADMINISTRATIVO</w:t>
      </w:r>
    </w:p>
    <w:p w:rsidR="00351147" w:rsidRDefault="00351147">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p>
    <w:tbl>
      <w:tblPr>
        <w:tblStyle w:val="a"/>
        <w:tblW w:w="9675" w:type="dxa"/>
        <w:jc w:val="center"/>
        <w:tblInd w:w="0" w:type="dxa"/>
        <w:tblLayout w:type="fixed"/>
        <w:tblLook w:val="0000"/>
      </w:tblPr>
      <w:tblGrid>
        <w:gridCol w:w="1153"/>
        <w:gridCol w:w="993"/>
        <w:gridCol w:w="1275"/>
        <w:gridCol w:w="6254"/>
      </w:tblGrid>
      <w:tr w:rsidR="00351147" w:rsidTr="00BD078D">
        <w:trPr>
          <w:trHeight w:val="450"/>
          <w:jc w:val="center"/>
        </w:trPr>
        <w:tc>
          <w:tcPr>
            <w:tcW w:w="1153" w:type="dxa"/>
            <w:tcBorders>
              <w:top w:val="single" w:sz="4" w:space="0" w:color="000000"/>
              <w:left w:val="single" w:sz="4" w:space="0" w:color="000000"/>
              <w:bottom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Tipo de serviço</w:t>
            </w:r>
          </w:p>
        </w:tc>
        <w:tc>
          <w:tcPr>
            <w:tcW w:w="993" w:type="dxa"/>
            <w:tcBorders>
              <w:top w:val="single" w:sz="4" w:space="0" w:color="000000"/>
              <w:left w:val="single" w:sz="4" w:space="0" w:color="000000"/>
              <w:bottom w:val="single" w:sz="4" w:space="0" w:color="000000"/>
              <w:right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Unidade</w:t>
            </w:r>
          </w:p>
        </w:tc>
        <w:tc>
          <w:tcPr>
            <w:tcW w:w="1275" w:type="dxa"/>
            <w:tcBorders>
              <w:top w:val="single" w:sz="4" w:space="0" w:color="000000"/>
              <w:left w:val="single" w:sz="4" w:space="0" w:color="000000"/>
              <w:bottom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Quantidade estimada por ano</w:t>
            </w:r>
          </w:p>
        </w:tc>
        <w:tc>
          <w:tcPr>
            <w:tcW w:w="6254" w:type="dxa"/>
            <w:tcBorders>
              <w:top w:val="single" w:sz="4" w:space="0" w:color="000000"/>
              <w:left w:val="single" w:sz="4" w:space="0" w:color="000000"/>
              <w:bottom w:val="single" w:sz="4" w:space="0" w:color="000000"/>
              <w:right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Justificativa da Quantidade (Memorial de Cálculo)</w:t>
            </w:r>
          </w:p>
        </w:tc>
      </w:tr>
      <w:tr w:rsidR="00351147" w:rsidTr="00BD078D">
        <w:trPr>
          <w:trHeight w:val="562"/>
          <w:jc w:val="center"/>
        </w:trPr>
        <w:tc>
          <w:tcPr>
            <w:tcW w:w="1153" w:type="dxa"/>
            <w:tcBorders>
              <w:left w:val="single" w:sz="4" w:space="0" w:color="000000"/>
              <w:bottom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*Diárias – Posto de Motorista</w:t>
            </w:r>
          </w:p>
        </w:tc>
        <w:tc>
          <w:tcPr>
            <w:tcW w:w="9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w:t>
            </w:r>
          </w:p>
        </w:tc>
        <w:tc>
          <w:tcPr>
            <w:tcW w:w="1275" w:type="dxa"/>
            <w:tcBorders>
              <w:left w:val="single" w:sz="4" w:space="0" w:color="000000"/>
              <w:bottom w:val="single" w:sz="4" w:space="0" w:color="000000"/>
            </w:tcBorders>
            <w:tcMar>
              <w:top w:w="0" w:type="dxa"/>
              <w:left w:w="10" w:type="dxa"/>
              <w:bottom w:w="0" w:type="dxa"/>
              <w:right w:w="10" w:type="dxa"/>
            </w:tcMar>
            <w:vAlign w:val="center"/>
          </w:tcPr>
          <w:p w:rsidR="00351147" w:rsidRPr="002A30F4" w:rsidRDefault="00712996">
            <w:pPr>
              <w:pStyle w:val="norm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120</w:t>
            </w:r>
          </w:p>
        </w:tc>
        <w:tc>
          <w:tcPr>
            <w:tcW w:w="6254" w:type="dxa"/>
            <w:tcBorders>
              <w:left w:val="single" w:sz="4" w:space="0" w:color="000000"/>
              <w:bottom w:val="single" w:sz="4" w:space="0" w:color="000000"/>
              <w:right w:val="single" w:sz="4" w:space="0" w:color="000000"/>
            </w:tcBorders>
            <w:tcMar>
              <w:top w:w="0" w:type="dxa"/>
              <w:left w:w="55" w:type="dxa"/>
              <w:bottom w:w="0" w:type="dxa"/>
              <w:right w:w="55" w:type="dxa"/>
            </w:tcMar>
            <w:vAlign w:val="center"/>
          </w:tcPr>
          <w:p w:rsidR="004B24B1" w:rsidRDefault="00B96A3A" w:rsidP="00482BAE">
            <w:pPr>
              <w:pStyle w:val="normal0"/>
              <w:pBdr>
                <w:top w:val="nil"/>
                <w:left w:val="nil"/>
                <w:bottom w:val="nil"/>
                <w:right w:val="nil"/>
                <w:between w:val="nil"/>
              </w:pBdr>
              <w:jc w:val="both"/>
              <w:rPr>
                <w:rFonts w:ascii="Times New Roman" w:eastAsia="Times New Roman" w:hAnsi="Times New Roman" w:cs="Times New Roman"/>
              </w:rPr>
            </w:pPr>
            <w:r w:rsidRPr="00B96A3A">
              <w:rPr>
                <w:rFonts w:ascii="Times New Roman" w:eastAsia="Times New Roman" w:hAnsi="Times New Roman" w:cs="Times New Roman"/>
                <w:b/>
                <w:u w:val="single"/>
              </w:rPr>
              <w:t>Justificativa:</w:t>
            </w:r>
            <w:r>
              <w:rPr>
                <w:rFonts w:ascii="Times New Roman" w:eastAsia="Times New Roman" w:hAnsi="Times New Roman" w:cs="Times New Roman"/>
              </w:rPr>
              <w:t xml:space="preserve"> </w:t>
            </w:r>
            <w:r w:rsidR="00E40FF9" w:rsidRPr="002A30F4">
              <w:rPr>
                <w:rFonts w:ascii="Times New Roman" w:eastAsia="Times New Roman" w:hAnsi="Times New Roman" w:cs="Times New Roman"/>
              </w:rPr>
              <w:t xml:space="preserve">Considerando que </w:t>
            </w:r>
            <w:r w:rsidR="001A4A07" w:rsidRPr="002A30F4">
              <w:rPr>
                <w:rFonts w:ascii="Times New Roman" w:eastAsia="Times New Roman" w:hAnsi="Times New Roman" w:cs="Times New Roman"/>
              </w:rPr>
              <w:t>muitas</w:t>
            </w:r>
            <w:r w:rsidR="00E40FF9" w:rsidRPr="002A30F4">
              <w:rPr>
                <w:rFonts w:ascii="Times New Roman" w:eastAsia="Times New Roman" w:hAnsi="Times New Roman" w:cs="Times New Roman"/>
              </w:rPr>
              <w:t xml:space="preserve"> das atividades administrativas e acadêmicas (visitas técnicas, reuniões, seminários, encontros, </w:t>
            </w:r>
            <w:r w:rsidR="001A4A07" w:rsidRPr="002A30F4">
              <w:rPr>
                <w:rFonts w:ascii="Times New Roman" w:eastAsia="Times New Roman" w:hAnsi="Times New Roman" w:cs="Times New Roman"/>
              </w:rPr>
              <w:t>eventos, etc.) são</w:t>
            </w:r>
            <w:r w:rsidR="00E40FF9" w:rsidRPr="002A30F4">
              <w:rPr>
                <w:rFonts w:ascii="Times New Roman" w:eastAsia="Times New Roman" w:hAnsi="Times New Roman" w:cs="Times New Roman"/>
              </w:rPr>
              <w:t xml:space="preserve"> programada</w:t>
            </w:r>
            <w:r w:rsidR="001A4A07" w:rsidRPr="002A30F4">
              <w:rPr>
                <w:rFonts w:ascii="Times New Roman" w:eastAsia="Times New Roman" w:hAnsi="Times New Roman" w:cs="Times New Roman"/>
              </w:rPr>
              <w:t xml:space="preserve">s em cidades </w:t>
            </w:r>
            <w:r w:rsidR="00025E16" w:rsidRPr="002A30F4">
              <w:rPr>
                <w:rFonts w:ascii="Times New Roman" w:eastAsia="Times New Roman" w:hAnsi="Times New Roman" w:cs="Times New Roman"/>
              </w:rPr>
              <w:t>como Recife/PE, Salvador/BA</w:t>
            </w:r>
            <w:r w:rsidR="006D5B1E" w:rsidRPr="002A30F4">
              <w:rPr>
                <w:rFonts w:ascii="Times New Roman" w:eastAsia="Times New Roman" w:hAnsi="Times New Roman" w:cs="Times New Roman"/>
              </w:rPr>
              <w:t>, Fortaleza/CE</w:t>
            </w:r>
            <w:r w:rsidR="00025E16" w:rsidRPr="002A30F4">
              <w:rPr>
                <w:rFonts w:ascii="Times New Roman" w:eastAsia="Times New Roman" w:hAnsi="Times New Roman" w:cs="Times New Roman"/>
              </w:rPr>
              <w:t>, e demais cidades das empresas que atendem o objetivo das visitas técnicas, além das cidades dos outros campi do IF Sertão-PE</w:t>
            </w:r>
            <w:r w:rsidR="00E40FF9" w:rsidRPr="002A30F4">
              <w:rPr>
                <w:rFonts w:ascii="Times New Roman" w:eastAsia="Times New Roman" w:hAnsi="Times New Roman" w:cs="Times New Roman"/>
              </w:rPr>
              <w:t>, com deslocamentos acima dos 50 km. Considerando</w:t>
            </w:r>
            <w:r w:rsidR="00025E16" w:rsidRPr="002A30F4">
              <w:rPr>
                <w:rFonts w:ascii="Times New Roman" w:eastAsia="Times New Roman" w:hAnsi="Times New Roman" w:cs="Times New Roman"/>
              </w:rPr>
              <w:t xml:space="preserve"> o</w:t>
            </w:r>
            <w:r w:rsidR="00E40FF9" w:rsidRPr="002A30F4">
              <w:rPr>
                <w:rFonts w:ascii="Times New Roman" w:eastAsia="Times New Roman" w:hAnsi="Times New Roman" w:cs="Times New Roman"/>
              </w:rPr>
              <w:t xml:space="preserve"> histórico d</w:t>
            </w:r>
            <w:r w:rsidR="00306422">
              <w:rPr>
                <w:rFonts w:ascii="Times New Roman" w:eastAsia="Times New Roman" w:hAnsi="Times New Roman" w:cs="Times New Roman"/>
              </w:rPr>
              <w:t xml:space="preserve">e viagens </w:t>
            </w:r>
            <w:r w:rsidR="00712996">
              <w:rPr>
                <w:rFonts w:ascii="Times New Roman" w:eastAsia="Times New Roman" w:hAnsi="Times New Roman" w:cs="Times New Roman"/>
              </w:rPr>
              <w:t>de</w:t>
            </w:r>
            <w:r w:rsidR="00306422">
              <w:rPr>
                <w:rFonts w:ascii="Times New Roman" w:eastAsia="Times New Roman" w:hAnsi="Times New Roman" w:cs="Times New Roman"/>
              </w:rPr>
              <w:t xml:space="preserve"> (</w:t>
            </w:r>
            <w:r w:rsidR="00E40FF9" w:rsidRPr="002A30F4">
              <w:rPr>
                <w:rFonts w:ascii="Times New Roman" w:eastAsia="Times New Roman" w:hAnsi="Times New Roman" w:cs="Times New Roman"/>
              </w:rPr>
              <w:t>2019)</w:t>
            </w:r>
            <w:r w:rsidR="00306422">
              <w:rPr>
                <w:rFonts w:ascii="Times New Roman" w:eastAsia="Times New Roman" w:hAnsi="Times New Roman" w:cs="Times New Roman"/>
              </w:rPr>
              <w:t>, que totalizou 78,5 diárias utilizadas com motoristas terceirizados, sendo 33 com pernoite e 45,5 sem pernoite</w:t>
            </w:r>
            <w:r w:rsidR="00E40FF9" w:rsidRPr="002A30F4">
              <w:rPr>
                <w:rFonts w:ascii="Times New Roman" w:eastAsia="Times New Roman" w:hAnsi="Times New Roman" w:cs="Times New Roman"/>
              </w:rPr>
              <w:t xml:space="preserve">. </w:t>
            </w:r>
            <w:r w:rsidR="00B3227E">
              <w:rPr>
                <w:rFonts w:ascii="Times New Roman" w:eastAsia="Times New Roman" w:hAnsi="Times New Roman" w:cs="Times New Roman"/>
              </w:rPr>
              <w:t>Considerando que a Resolução nº 01 de 2020 do Conselho Superior limita e</w:t>
            </w:r>
            <w:r w:rsidR="00B3227E" w:rsidRPr="00B3227E">
              <w:rPr>
                <w:rFonts w:ascii="Times New Roman" w:eastAsia="Times New Roman" w:hAnsi="Times New Roman" w:cs="Times New Roman"/>
              </w:rPr>
              <w:t>m trinta diárias intercaladas por proposto no ano</w:t>
            </w:r>
            <w:r w:rsidR="00482BAE">
              <w:rPr>
                <w:rFonts w:ascii="Times New Roman" w:eastAsia="Times New Roman" w:hAnsi="Times New Roman" w:cs="Times New Roman"/>
              </w:rPr>
              <w:t>, estabelecido pelo Decreto nº 10.193/2019,</w:t>
            </w:r>
            <w:r w:rsidR="00B3227E">
              <w:rPr>
                <w:rFonts w:ascii="Times New Roman" w:eastAsia="Times New Roman" w:hAnsi="Times New Roman" w:cs="Times New Roman"/>
              </w:rPr>
              <w:t xml:space="preserve"> e que em viagens com dois motoristas teremos sempre um terceirizado e um efetivo, o que acabaria por limitar também o quantitativo de diárias por terceirizado</w:t>
            </w:r>
            <w:r w:rsidR="00B3227E" w:rsidRPr="00B3227E">
              <w:rPr>
                <w:rFonts w:ascii="Times New Roman" w:eastAsia="Times New Roman" w:hAnsi="Times New Roman" w:cs="Times New Roman"/>
              </w:rPr>
              <w:t xml:space="preserve">; </w:t>
            </w:r>
            <w:r w:rsidR="00E40FF9" w:rsidRPr="002A30F4">
              <w:rPr>
                <w:rFonts w:ascii="Times New Roman" w:eastAsia="Times New Roman" w:hAnsi="Times New Roman" w:cs="Times New Roman"/>
              </w:rPr>
              <w:t>Considerando que teremos dois postos de motorista, assim como crescente número de atividades a serem desenvo</w:t>
            </w:r>
            <w:r w:rsidR="00712996">
              <w:rPr>
                <w:rFonts w:ascii="Times New Roman" w:eastAsia="Times New Roman" w:hAnsi="Times New Roman" w:cs="Times New Roman"/>
              </w:rPr>
              <w:t xml:space="preserve">lvidas (2020/2021), estima-se: </w:t>
            </w:r>
            <w:r w:rsidR="004B24B1">
              <w:rPr>
                <w:rFonts w:ascii="Times New Roman" w:eastAsia="Times New Roman" w:hAnsi="Times New Roman" w:cs="Times New Roman"/>
              </w:rPr>
              <w:t xml:space="preserve">120 (cento e vinte) diárias com o valor de R$ 70,50 [ </w:t>
            </w:r>
            <w:r w:rsidR="004B24B1" w:rsidRPr="002A30F4">
              <w:rPr>
                <w:rFonts w:ascii="Times New Roman" w:eastAsia="Times New Roman" w:hAnsi="Times New Roman" w:cs="Times New Roman"/>
              </w:rPr>
              <w:t xml:space="preserve">a) 19,50 + b) 19,50 + c) </w:t>
            </w:r>
            <w:r w:rsidR="004B24B1">
              <w:rPr>
                <w:rFonts w:ascii="Times New Roman" w:eastAsia="Times New Roman" w:hAnsi="Times New Roman" w:cs="Times New Roman"/>
              </w:rPr>
              <w:t>31,50]:</w:t>
            </w:r>
            <w:r w:rsidR="004B24B1" w:rsidRPr="002A30F4">
              <w:rPr>
                <w:rFonts w:ascii="Times New Roman" w:eastAsia="Times New Roman" w:hAnsi="Times New Roman" w:cs="Times New Roman"/>
              </w:rPr>
              <w:t xml:space="preserve"> </w:t>
            </w:r>
            <w:r w:rsidR="004B24B1">
              <w:rPr>
                <w:rFonts w:ascii="Times New Roman" w:eastAsia="Times New Roman" w:hAnsi="Times New Roman" w:cs="Times New Roman"/>
              </w:rPr>
              <w:t xml:space="preserve">120 diárias x R$ 70,50 = </w:t>
            </w:r>
            <w:r w:rsidR="004B24B1" w:rsidRPr="004B24B1">
              <w:rPr>
                <w:rFonts w:ascii="Times New Roman" w:eastAsia="Times New Roman" w:hAnsi="Times New Roman" w:cs="Times New Roman"/>
                <w:b/>
              </w:rPr>
              <w:t>R$</w:t>
            </w:r>
            <w:r w:rsidR="004B24B1" w:rsidRPr="002A30F4">
              <w:rPr>
                <w:rFonts w:ascii="Times New Roman" w:eastAsia="Times New Roman" w:hAnsi="Times New Roman" w:cs="Times New Roman"/>
              </w:rPr>
              <w:t xml:space="preserve"> </w:t>
            </w:r>
            <w:r w:rsidR="004B24B1" w:rsidRPr="004B24B1">
              <w:rPr>
                <w:rFonts w:ascii="Times New Roman" w:eastAsia="Times New Roman" w:hAnsi="Times New Roman" w:cs="Times New Roman"/>
                <w:b/>
              </w:rPr>
              <w:t>8.460,00 (Oito Mil e Quatrocentos e Sessenta Reais)</w:t>
            </w:r>
            <w:r w:rsidR="004B24B1">
              <w:rPr>
                <w:rFonts w:ascii="Times New Roman" w:eastAsia="Times New Roman" w:hAnsi="Times New Roman" w:cs="Times New Roman"/>
                <w:b/>
              </w:rPr>
              <w:t>.</w:t>
            </w:r>
          </w:p>
          <w:p w:rsidR="00351147" w:rsidRPr="002A30F4" w:rsidRDefault="00306422" w:rsidP="00482BAE">
            <w:pPr>
              <w:pStyle w:val="normal0"/>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u w:val="single"/>
              </w:rPr>
              <w:t>Memória de Cálculo</w:t>
            </w:r>
            <w:r w:rsidRPr="00B96A3A">
              <w:rPr>
                <w:rFonts w:ascii="Times New Roman" w:eastAsia="Times New Roman" w:hAnsi="Times New Roman" w:cs="Times New Roman"/>
                <w:b/>
                <w:u w:val="single"/>
              </w:rPr>
              <w:t>:</w:t>
            </w:r>
            <w:r>
              <w:rPr>
                <w:rFonts w:ascii="Times New Roman" w:eastAsia="Times New Roman" w:hAnsi="Times New Roman" w:cs="Times New Roman"/>
              </w:rPr>
              <w:t xml:space="preserve"> Média de 5 diárias por mês, por motorista; Resulta em 5 diárias x 12 meses = 60 diárias por ano por motorista; Resulta em 120 diárias por ano para os dois motoristas</w:t>
            </w:r>
            <w:r w:rsidR="00712996">
              <w:rPr>
                <w:rFonts w:ascii="Times New Roman" w:eastAsia="Times New Roman" w:hAnsi="Times New Roman" w:cs="Times New Roman"/>
              </w:rPr>
              <w:t xml:space="preserve"> terceirizados</w:t>
            </w:r>
            <w:r>
              <w:rPr>
                <w:rFonts w:ascii="Times New Roman" w:eastAsia="Times New Roman" w:hAnsi="Times New Roman" w:cs="Times New Roman"/>
              </w:rPr>
              <w:t xml:space="preserve">; </w:t>
            </w:r>
          </w:p>
        </w:tc>
      </w:tr>
    </w:tbl>
    <w:p w:rsidR="00351147" w:rsidRDefault="0035114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4C5EC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A DIÀRIA para Motorista será remunerada quando estes profissionais precisarem se deslocar acima de 50 km (cinquenta quilômetros) de distância da sede onde fazem sua prestação dos serviços, bem como, ser necessário a sua pernoite durante seu deslocamento para outra localidade</w:t>
      </w:r>
      <w:r>
        <w:rPr>
          <w:rFonts w:ascii="Times New Roman" w:eastAsia="Times New Roman" w:hAnsi="Times New Roman" w:cs="Times New Roman"/>
          <w:color w:val="000000"/>
          <w:sz w:val="22"/>
          <w:szCs w:val="22"/>
        </w:rPr>
        <w:t>, conforme Cláusula Décima Segunda - Reembolso de Despesas, alíneas “a, b e c” das  CCTs de  nºs MTE PE000234/2020 e PE000070/2020,  levando-se em consideração o somatório dos seguintes reembolsos para formação do valor da diária:  a) Almoço = R$ 19,50 ( deslocamento acima de 50 km)  + b) Jantar  = R$ 19,50 ( deslocamento acima de 50 km)  + c) Pernoite  =  R$ 31,50 ( quando for necessário dormir fora da sua sede da prestação dos serviços).</w:t>
      </w:r>
    </w:p>
    <w:p w:rsidR="00351147" w:rsidRDefault="0035114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995D4A">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Observação.1</w:t>
      </w:r>
      <w:r w:rsidR="004C5EC7">
        <w:rPr>
          <w:rFonts w:ascii="Times New Roman" w:eastAsia="Times New Roman" w:hAnsi="Times New Roman" w:cs="Times New Roman"/>
          <w:b/>
          <w:color w:val="000000"/>
          <w:sz w:val="22"/>
          <w:szCs w:val="22"/>
        </w:rPr>
        <w:t>:</w:t>
      </w:r>
      <w:r w:rsidR="004C5EC7">
        <w:rPr>
          <w:rFonts w:ascii="Times New Roman" w:eastAsia="Times New Roman" w:hAnsi="Times New Roman" w:cs="Times New Roman"/>
          <w:color w:val="000000"/>
          <w:sz w:val="22"/>
          <w:szCs w:val="22"/>
        </w:rPr>
        <w:t xml:space="preserve"> O valor máximo aceitável pela Administração da DIÁRIA para o Posto de Motorista será calculado em planilha de custos e formação de preços a partir dos valores previstos na respectiva convenção coletiva de trabalho mais os custos indiretos e lucro, bem como, os tributos que incidem para emissão da nota fiscal após a devida prestação dos serviços, levando em consideração o regime de tributação de cada licitante.</w:t>
      </w:r>
    </w:p>
    <w:p w:rsidR="0015107E" w:rsidRDefault="0015107E">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995D4A">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Observação.2</w:t>
      </w:r>
      <w:r w:rsidR="0015107E">
        <w:rPr>
          <w:rFonts w:ascii="Times New Roman" w:eastAsia="Times New Roman" w:hAnsi="Times New Roman" w:cs="Times New Roman"/>
          <w:b/>
          <w:color w:val="000000"/>
          <w:sz w:val="22"/>
          <w:szCs w:val="22"/>
        </w:rPr>
        <w:t>:</w:t>
      </w:r>
      <w:r w:rsidR="0015107E">
        <w:rPr>
          <w:rFonts w:ascii="Times New Roman" w:eastAsia="Times New Roman" w:hAnsi="Times New Roman" w:cs="Times New Roman"/>
          <w:color w:val="000000"/>
          <w:sz w:val="22"/>
          <w:szCs w:val="22"/>
        </w:rPr>
        <w:t xml:space="preserve"> </w:t>
      </w:r>
      <w:r w:rsidR="0015107E" w:rsidRPr="0015107E">
        <w:rPr>
          <w:rFonts w:ascii="Times New Roman" w:eastAsia="Times New Roman" w:hAnsi="Times New Roman" w:cs="Times New Roman"/>
          <w:color w:val="000000"/>
          <w:sz w:val="22"/>
          <w:szCs w:val="22"/>
        </w:rPr>
        <w:t>Não há previsão de pagamento de adicional noturno devido aos serv</w:t>
      </w:r>
      <w:r w:rsidR="0015107E">
        <w:rPr>
          <w:rFonts w:ascii="Times New Roman" w:eastAsia="Times New Roman" w:hAnsi="Times New Roman" w:cs="Times New Roman"/>
          <w:color w:val="000000"/>
          <w:sz w:val="22"/>
          <w:szCs w:val="22"/>
        </w:rPr>
        <w:t>i</w:t>
      </w:r>
      <w:r w:rsidR="0015107E" w:rsidRPr="0015107E">
        <w:rPr>
          <w:rFonts w:ascii="Times New Roman" w:eastAsia="Times New Roman" w:hAnsi="Times New Roman" w:cs="Times New Roman"/>
          <w:color w:val="000000"/>
          <w:sz w:val="22"/>
          <w:szCs w:val="22"/>
        </w:rPr>
        <w:t>ços fora do horário de expediente estarem sob a execução dos motoristas do quadro efetivo</w:t>
      </w:r>
      <w:r w:rsidR="0015107E">
        <w:rPr>
          <w:rFonts w:ascii="Times New Roman" w:eastAsia="Times New Roman" w:hAnsi="Times New Roman" w:cs="Times New Roman"/>
          <w:color w:val="000000"/>
          <w:sz w:val="22"/>
          <w:szCs w:val="22"/>
        </w:rPr>
        <w:t>,</w:t>
      </w:r>
      <w:r w:rsidR="0015107E" w:rsidRPr="0015107E">
        <w:rPr>
          <w:rFonts w:ascii="Times New Roman" w:eastAsia="Times New Roman" w:hAnsi="Times New Roman" w:cs="Times New Roman"/>
          <w:color w:val="000000"/>
          <w:sz w:val="22"/>
          <w:szCs w:val="22"/>
        </w:rPr>
        <w:t xml:space="preserve"> conforme escala do setor de transporte do campus.</w:t>
      </w:r>
    </w:p>
    <w:p w:rsidR="001D68BB" w:rsidRDefault="001D68BB">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1D68BB" w:rsidRDefault="004B24B1" w:rsidP="001D68BB">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Observação.3</w:t>
      </w:r>
      <w:r w:rsidR="001D68BB">
        <w:rPr>
          <w:rFonts w:ascii="Times New Roman" w:eastAsia="Times New Roman" w:hAnsi="Times New Roman" w:cs="Times New Roman"/>
          <w:b/>
          <w:color w:val="000000"/>
          <w:sz w:val="22"/>
          <w:szCs w:val="22"/>
        </w:rPr>
        <w:t>:</w:t>
      </w:r>
      <w:r w:rsidR="001D68BB">
        <w:rPr>
          <w:rFonts w:ascii="Times New Roman" w:eastAsia="Times New Roman" w:hAnsi="Times New Roman" w:cs="Times New Roman"/>
          <w:color w:val="000000"/>
          <w:sz w:val="22"/>
          <w:szCs w:val="22"/>
        </w:rPr>
        <w:t xml:space="preserve"> </w:t>
      </w:r>
      <w:r w:rsidR="001D68BB" w:rsidRPr="0015107E">
        <w:rPr>
          <w:rFonts w:ascii="Times New Roman" w:eastAsia="Times New Roman" w:hAnsi="Times New Roman" w:cs="Times New Roman"/>
          <w:color w:val="000000"/>
          <w:sz w:val="22"/>
          <w:szCs w:val="22"/>
        </w:rPr>
        <w:t xml:space="preserve">Não há previsão de pagamento de </w:t>
      </w:r>
      <w:r w:rsidR="001D68BB">
        <w:rPr>
          <w:rFonts w:ascii="Times New Roman" w:eastAsia="Times New Roman" w:hAnsi="Times New Roman" w:cs="Times New Roman"/>
          <w:color w:val="000000"/>
          <w:sz w:val="22"/>
          <w:szCs w:val="22"/>
        </w:rPr>
        <w:t>horas extras</w:t>
      </w:r>
      <w:r w:rsidR="009359D6">
        <w:rPr>
          <w:rFonts w:ascii="Times New Roman" w:eastAsia="Times New Roman" w:hAnsi="Times New Roman" w:cs="Times New Roman"/>
          <w:color w:val="000000"/>
          <w:sz w:val="22"/>
          <w:szCs w:val="22"/>
        </w:rPr>
        <w:t>, visto que, as atividades serão desenvolvidas dentro do horário de trabalho dos motoristas, eventualmente, as horas que ultrapassarem o horário normal de trabalho serão utilizadas como folga.</w:t>
      </w:r>
    </w:p>
    <w:p w:rsidR="001D68BB" w:rsidRDefault="001D68BB">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2A30F4" w:rsidRDefault="008B7AA0"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shd w:val="clear" w:color="auto" w:fill="FFFFFF"/>
        </w:rPr>
        <w:drawing>
          <wp:inline distT="0" distB="0" distL="0" distR="0">
            <wp:extent cx="1751330" cy="233045"/>
            <wp:effectExtent l="19050" t="0" r="127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51330" cy="233045"/>
                    </a:xfrm>
                    <a:prstGeom prst="rect">
                      <a:avLst/>
                    </a:prstGeom>
                    <a:solidFill>
                      <a:srgbClr val="FFFFFF"/>
                    </a:solidFill>
                    <a:ln w="9525">
                      <a:noFill/>
                      <a:miter lim="800000"/>
                      <a:headEnd/>
                      <a:tailEnd/>
                    </a:ln>
                  </pic:spPr>
                </pic:pic>
              </a:graphicData>
            </a:graphic>
          </wp:inline>
        </w:drawing>
      </w:r>
    </w:p>
    <w:p w:rsidR="00351147" w:rsidRDefault="00086AAC"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Erivelto Almeida de Oliveira</w:t>
      </w:r>
    </w:p>
    <w:p w:rsidR="00351147" w:rsidRDefault="004C5EC7"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Campus</w:t>
      </w:r>
      <w:r w:rsidR="00086AAC">
        <w:rPr>
          <w:rFonts w:ascii="Times New Roman" w:eastAsia="Times New Roman" w:hAnsi="Times New Roman" w:cs="Times New Roman"/>
          <w:b/>
          <w:color w:val="000000"/>
          <w:sz w:val="22"/>
          <w:szCs w:val="22"/>
        </w:rPr>
        <w:t xml:space="preserve"> Petrolina</w:t>
      </w:r>
    </w:p>
    <w:p w:rsidR="00351147" w:rsidRDefault="004C5EC7"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IF Sertão-PE</w:t>
      </w: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br w:type="page"/>
      </w: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sectPr w:rsidR="00213D06" w:rsidSect="00351147">
          <w:headerReference w:type="default" r:id="rId7"/>
          <w:pgSz w:w="11906" w:h="16838"/>
          <w:pgMar w:top="1134" w:right="1134" w:bottom="1134" w:left="1134" w:header="720" w:footer="720" w:gutter="0"/>
          <w:pgNumType w:start="1"/>
          <w:cols w:space="720"/>
        </w:sect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p>
    <w:p w:rsidR="00213D06" w:rsidRDefault="00213D06" w:rsidP="00213D06">
      <w:pPr>
        <w:pStyle w:val="Standard"/>
        <w:jc w:val="center"/>
        <w:rPr>
          <w:b/>
          <w:bCs/>
          <w:u w:val="single"/>
        </w:rPr>
      </w:pPr>
      <w:r>
        <w:rPr>
          <w:b/>
          <w:bCs/>
          <w:u w:val="single"/>
        </w:rPr>
        <w:t>Levantamento de diárias e horas extra</w:t>
      </w:r>
      <w:r w:rsidR="00DA335F">
        <w:rPr>
          <w:b/>
          <w:bCs/>
          <w:u w:val="single"/>
        </w:rPr>
        <w:t>s</w:t>
      </w:r>
      <w:r>
        <w:rPr>
          <w:b/>
          <w:bCs/>
          <w:u w:val="single"/>
        </w:rPr>
        <w:t xml:space="preserve"> – Posto de Motorista</w:t>
      </w:r>
    </w:p>
    <w:p w:rsidR="00213D06" w:rsidRDefault="00213D06" w:rsidP="00213D06">
      <w:pPr>
        <w:pStyle w:val="Standard"/>
        <w:jc w:val="center"/>
        <w:rPr>
          <w:b/>
          <w:bCs/>
          <w:color w:val="FF0000"/>
          <w:u w:val="single"/>
        </w:rPr>
      </w:pPr>
      <w:r>
        <w:rPr>
          <w:b/>
          <w:bCs/>
          <w:color w:val="FF0000"/>
          <w:u w:val="single"/>
        </w:rPr>
        <w:t>(Anexo I do Estudo Preliminar)</w:t>
      </w:r>
    </w:p>
    <w:p w:rsidR="00213D06" w:rsidRDefault="00213D06" w:rsidP="00213D06">
      <w:pPr>
        <w:pStyle w:val="Standard"/>
        <w:jc w:val="center"/>
        <w:rPr>
          <w:b/>
          <w:bCs/>
          <w:u w:val="single"/>
        </w:rPr>
      </w:pPr>
    </w:p>
    <w:tbl>
      <w:tblPr>
        <w:tblW w:w="15466" w:type="dxa"/>
        <w:tblInd w:w="-439" w:type="dxa"/>
        <w:tblLayout w:type="fixed"/>
        <w:tblCellMar>
          <w:left w:w="10" w:type="dxa"/>
          <w:right w:w="10" w:type="dxa"/>
        </w:tblCellMar>
        <w:tblLook w:val="04A0"/>
      </w:tblPr>
      <w:tblGrid>
        <w:gridCol w:w="577"/>
        <w:gridCol w:w="3036"/>
        <w:gridCol w:w="2268"/>
        <w:gridCol w:w="2635"/>
        <w:gridCol w:w="2303"/>
        <w:gridCol w:w="1767"/>
        <w:gridCol w:w="2880"/>
      </w:tblGrid>
      <w:tr w:rsidR="00213D06" w:rsidTr="00D84121">
        <w:trPr>
          <w:trHeight w:val="395"/>
        </w:trPr>
        <w:tc>
          <w:tcPr>
            <w:tcW w:w="15466" w:type="dxa"/>
            <w:gridSpan w:val="7"/>
            <w:tcBorders>
              <w:top w:val="single" w:sz="2" w:space="0" w:color="FFFFFF"/>
              <w:left w:val="single" w:sz="2" w:space="0" w:color="FFFFFF"/>
              <w:bottom w:val="single" w:sz="2" w:space="0" w:color="FFFFFF"/>
              <w:right w:val="single" w:sz="2" w:space="0" w:color="FFFFFF"/>
            </w:tcBorders>
            <w:shd w:val="clear" w:color="auto" w:fill="000000"/>
            <w:tcMar>
              <w:top w:w="55" w:type="dxa"/>
              <w:left w:w="55" w:type="dxa"/>
              <w:bottom w:w="55" w:type="dxa"/>
              <w:right w:w="55" w:type="dxa"/>
            </w:tcMar>
            <w:vAlign w:val="center"/>
          </w:tcPr>
          <w:p w:rsidR="00213D06" w:rsidRDefault="00213D06" w:rsidP="00D84121">
            <w:pPr>
              <w:pStyle w:val="TableContents"/>
              <w:jc w:val="center"/>
            </w:pPr>
            <w:r>
              <w:rPr>
                <w:b/>
                <w:bCs/>
                <w:i/>
                <w:iCs/>
                <w:sz w:val="30"/>
                <w:szCs w:val="30"/>
              </w:rPr>
              <w:t>CAMPUS</w:t>
            </w:r>
            <w:r>
              <w:rPr>
                <w:b/>
                <w:bCs/>
                <w:sz w:val="30"/>
                <w:szCs w:val="30"/>
              </w:rPr>
              <w:t xml:space="preserve"> </w:t>
            </w:r>
            <w:r w:rsidR="00DA335F">
              <w:rPr>
                <w:b/>
                <w:bCs/>
                <w:sz w:val="30"/>
                <w:szCs w:val="30"/>
              </w:rPr>
              <w:t>PETROLINA</w:t>
            </w:r>
            <w:r>
              <w:rPr>
                <w:b/>
                <w:bCs/>
                <w:sz w:val="30"/>
                <w:szCs w:val="30"/>
              </w:rPr>
              <w:t xml:space="preserve"> </w:t>
            </w:r>
          </w:p>
        </w:tc>
      </w:tr>
      <w:tr w:rsidR="00213D06" w:rsidTr="004455BF">
        <w:tc>
          <w:tcPr>
            <w:tcW w:w="577"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Item</w:t>
            </w:r>
          </w:p>
        </w:tc>
        <w:tc>
          <w:tcPr>
            <w:tcW w:w="3036"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Tipo de serviço</w:t>
            </w:r>
          </w:p>
        </w:tc>
        <w:tc>
          <w:tcPr>
            <w:tcW w:w="2268"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C64446" w:rsidP="00D84121">
            <w:pPr>
              <w:pStyle w:val="TableContents"/>
              <w:jc w:val="center"/>
            </w:pPr>
            <w:r>
              <w:t>Quantidade</w:t>
            </w:r>
            <w:r w:rsidR="00213D06">
              <w:t xml:space="preserve"> estimada por ano</w:t>
            </w:r>
          </w:p>
        </w:tc>
        <w:tc>
          <w:tcPr>
            <w:tcW w:w="2635"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Unitário</w:t>
            </w:r>
          </w:p>
        </w:tc>
        <w:tc>
          <w:tcPr>
            <w:tcW w:w="2303"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Estimado</w:t>
            </w:r>
          </w:p>
        </w:tc>
        <w:tc>
          <w:tcPr>
            <w:tcW w:w="1767"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estimado - tributos</w:t>
            </w:r>
          </w:p>
        </w:tc>
        <w:tc>
          <w:tcPr>
            <w:tcW w:w="2880" w:type="dxa"/>
            <w:tcBorders>
              <w:left w:val="single" w:sz="2" w:space="0" w:color="FFFFFF"/>
              <w:bottom w:val="single" w:sz="2" w:space="0" w:color="FFFFFF"/>
              <w:right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Total, incluindo os tributos</w:t>
            </w:r>
          </w:p>
        </w:tc>
      </w:tr>
      <w:tr w:rsidR="00213D06" w:rsidTr="004455BF">
        <w:trPr>
          <w:trHeight w:val="662"/>
        </w:trPr>
        <w:tc>
          <w:tcPr>
            <w:tcW w:w="577" w:type="dxa"/>
            <w:tcBorders>
              <w:left w:val="single" w:sz="2" w:space="0" w:color="000000"/>
              <w:bottom w:val="single" w:sz="2" w:space="0" w:color="000000"/>
            </w:tcBorders>
            <w:tcMar>
              <w:top w:w="55" w:type="dxa"/>
              <w:left w:w="55" w:type="dxa"/>
              <w:bottom w:w="55" w:type="dxa"/>
              <w:right w:w="55" w:type="dxa"/>
            </w:tcMar>
            <w:vAlign w:val="center"/>
          </w:tcPr>
          <w:p w:rsidR="00213D06" w:rsidRDefault="004542C6" w:rsidP="00D84121">
            <w:pPr>
              <w:pStyle w:val="TableContents"/>
              <w:jc w:val="center"/>
            </w:pPr>
            <w:r>
              <w:t>0</w:t>
            </w:r>
            <w:r w:rsidR="000917D3">
              <w:t>9</w:t>
            </w:r>
          </w:p>
        </w:tc>
        <w:tc>
          <w:tcPr>
            <w:tcW w:w="3036" w:type="dxa"/>
            <w:tcBorders>
              <w:left w:val="single" w:sz="2" w:space="0" w:color="000000"/>
              <w:bottom w:val="single" w:sz="2" w:space="0" w:color="000000"/>
            </w:tcBorders>
            <w:tcMar>
              <w:top w:w="55" w:type="dxa"/>
              <w:left w:w="55" w:type="dxa"/>
              <w:bottom w:w="55" w:type="dxa"/>
              <w:right w:w="55" w:type="dxa"/>
            </w:tcMar>
            <w:vAlign w:val="center"/>
          </w:tcPr>
          <w:p w:rsidR="00AC7882" w:rsidRDefault="00213D06" w:rsidP="004E6AE5">
            <w:pPr>
              <w:pStyle w:val="TableContents"/>
              <w:jc w:val="center"/>
            </w:pPr>
            <w:r>
              <w:t>Diárias</w:t>
            </w:r>
            <w:r w:rsidR="00C64446" w:rsidRPr="00B67250">
              <w:rPr>
                <w:b/>
              </w:rPr>
              <w:t>*</w:t>
            </w:r>
            <w:r>
              <w:t xml:space="preserve"> – Posto de Motorista</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4E6AE5" w:rsidP="00D84121">
            <w:pPr>
              <w:pStyle w:val="TableContents"/>
              <w:jc w:val="center"/>
            </w:pPr>
            <w:r>
              <w:t>120</w:t>
            </w:r>
          </w:p>
        </w:tc>
        <w:tc>
          <w:tcPr>
            <w:tcW w:w="2635"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213D06" w:rsidP="00D84121">
            <w:pPr>
              <w:pStyle w:val="TableContents"/>
              <w:jc w:val="center"/>
            </w:pPr>
            <w:r w:rsidRPr="00C36BF9">
              <w:t>R$ 7</w:t>
            </w:r>
            <w:r w:rsidR="00AC7882" w:rsidRPr="00C36BF9">
              <w:t>0,50</w:t>
            </w:r>
            <w:r w:rsidR="00C36BF9">
              <w:t xml:space="preserve"> (a+b+c)</w:t>
            </w:r>
          </w:p>
        </w:tc>
        <w:tc>
          <w:tcPr>
            <w:tcW w:w="2303"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213D06" w:rsidP="004E6AE5">
            <w:pPr>
              <w:pStyle w:val="TableContents"/>
              <w:jc w:val="center"/>
            </w:pPr>
            <w:r w:rsidRPr="00C36BF9">
              <w:t xml:space="preserve">R$ </w:t>
            </w:r>
            <w:r w:rsidR="004E6AE5">
              <w:t>8.460</w:t>
            </w:r>
            <w:r w:rsidRPr="00C36BF9">
              <w:t>,00‬</w:t>
            </w:r>
          </w:p>
        </w:tc>
        <w:tc>
          <w:tcPr>
            <w:tcW w:w="1767"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213D06" w:rsidP="00D84121">
            <w:pPr>
              <w:pStyle w:val="TableContents"/>
              <w:jc w:val="center"/>
            </w:pPr>
            <w:r w:rsidRPr="00C36BF9">
              <w:t>R$ 0,00</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13D06" w:rsidRPr="00C36BF9" w:rsidRDefault="00213D06" w:rsidP="00D84121">
            <w:pPr>
              <w:pStyle w:val="TableContents"/>
              <w:jc w:val="center"/>
            </w:pPr>
            <w:r w:rsidRPr="00C36BF9">
              <w:t xml:space="preserve">R$ </w:t>
            </w:r>
            <w:r w:rsidR="004E6AE5">
              <w:t>8.460</w:t>
            </w:r>
            <w:r w:rsidR="004E6AE5" w:rsidRPr="00C36BF9">
              <w:t>,00‬</w:t>
            </w:r>
          </w:p>
        </w:tc>
      </w:tr>
    </w:tbl>
    <w:p w:rsidR="00213D06" w:rsidRDefault="00213D06" w:rsidP="00213D06">
      <w:pPr>
        <w:pStyle w:val="Standard"/>
      </w:pPr>
    </w:p>
    <w:p w:rsidR="00213D06" w:rsidRDefault="0058148C" w:rsidP="008A2E55">
      <w:pPr>
        <w:pStyle w:val="Standard"/>
        <w:jc w:val="both"/>
      </w:pPr>
      <w:r w:rsidRPr="00B67250">
        <w:rPr>
          <w:b/>
        </w:rPr>
        <w:t>*</w:t>
      </w:r>
      <w:r w:rsidRPr="0058148C">
        <w:t>A DIÀRIA para Motorista será remunerada quando estes profissionais precisarem se deslocar acima de 50 km (cinquenta quilômetros) de distância da sede onde fazem sua prestação dos serviços, bem como, ser necessário a sua pernoite durante seu deslocamento para outra localidade, conforme Cláusula Décima Segunda - Reembolso de Despesas, alíneas “a, b e c” das  CCTs de  nºs MTE PE000234/2020 e PE000070/2020,  levando-se em consideração o somatório dos seguintes reembolsos para formação do valor da diária:  a) Almoço = R$ 19,50 ( deslocamento acima de 50 km)  + b) Jantar  = R$ 19,50 ( deslocamento acima de 50 km)  + c) Pernoite  =  R$ 31,50 ( quando for necessário dormir fora da sua sede da prestação dos serviços).</w:t>
      </w:r>
    </w:p>
    <w:p w:rsidR="00B67250" w:rsidRDefault="00B67250" w:rsidP="008A2E55">
      <w:pPr>
        <w:pStyle w:val="Standard"/>
        <w:jc w:val="both"/>
      </w:pPr>
    </w:p>
    <w:p w:rsidR="004455BF" w:rsidRPr="008A2E55" w:rsidRDefault="004455BF" w:rsidP="008A2E55">
      <w:pPr>
        <w:pStyle w:val="Standard"/>
        <w:jc w:val="both"/>
      </w:pPr>
      <w:r w:rsidRPr="00B67250">
        <w:rPr>
          <w:b/>
        </w:rPr>
        <w:t>**</w:t>
      </w:r>
      <w:r>
        <w:t xml:space="preserve"> </w:t>
      </w:r>
      <w:r w:rsidRPr="004455BF">
        <w:t>Não há previsão de pagamento de horas extras, visto que, as atividades serão desenvolvidas dentro do horário de trabalho dos motoristas, eventualmente, as horas que ultrapassarem o horário normal de trabalho serão utilizadas como folga.</w:t>
      </w:r>
    </w:p>
    <w:sectPr w:rsidR="004455BF" w:rsidRPr="008A2E55" w:rsidSect="00213D06">
      <w:pgSz w:w="16838" w:h="11906" w:orient="landscape"/>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507" w:rsidRDefault="00147507" w:rsidP="00351147">
      <w:r>
        <w:separator/>
      </w:r>
    </w:p>
  </w:endnote>
  <w:endnote w:type="continuationSeparator" w:id="1">
    <w:p w:rsidR="00147507" w:rsidRDefault="00147507" w:rsidP="0035114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auto"/>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507" w:rsidRDefault="00147507" w:rsidP="00351147">
      <w:r>
        <w:separator/>
      </w:r>
    </w:p>
  </w:footnote>
  <w:footnote w:type="continuationSeparator" w:id="1">
    <w:p w:rsidR="00147507" w:rsidRDefault="00147507" w:rsidP="00351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47" w:rsidRDefault="004C5EC7">
    <w:pPr>
      <w:pStyle w:val="normal0"/>
      <w:pBdr>
        <w:top w:val="nil"/>
        <w:left w:val="nil"/>
        <w:bottom w:val="nil"/>
        <w:right w:val="nil"/>
        <w:between w:val="nil"/>
      </w:pBdr>
      <w:tabs>
        <w:tab w:val="left" w:pos="7180"/>
      </w:tabs>
      <w:rPr>
        <w:rFonts w:ascii="Arial" w:eastAsia="Arial" w:hAnsi="Arial" w:cs="Arial"/>
        <w:color w:val="000000"/>
      </w:rPr>
    </w:pPr>
    <w:r>
      <w:rPr>
        <w:noProof/>
      </w:rPr>
      <w:drawing>
        <wp:anchor distT="0" distB="0" distL="114300" distR="114300" simplePos="0" relativeHeight="251658240" behindDoc="0" locked="0" layoutInCell="1" allowOverlap="1">
          <wp:simplePos x="0" y="0"/>
          <wp:positionH relativeFrom="column">
            <wp:posOffset>-9524</wp:posOffset>
          </wp:positionH>
          <wp:positionV relativeFrom="paragraph">
            <wp:posOffset>8255</wp:posOffset>
          </wp:positionV>
          <wp:extent cx="1322705" cy="4311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568" t="-17413" r="-4568" b="-17412"/>
                  <a:stretch>
                    <a:fillRect/>
                  </a:stretch>
                </pic:blipFill>
                <pic:spPr>
                  <a:xfrm>
                    <a:off x="0" y="0"/>
                    <a:ext cx="1322705" cy="43116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5654040</wp:posOffset>
          </wp:positionH>
          <wp:positionV relativeFrom="paragraph">
            <wp:posOffset>-242569</wp:posOffset>
          </wp:positionV>
          <wp:extent cx="700405" cy="6826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5411" t="-15625" r="-15410" b="-15625"/>
                  <a:stretch>
                    <a:fillRect/>
                  </a:stretch>
                </pic:blipFill>
                <pic:spPr>
                  <a:xfrm>
                    <a:off x="0" y="0"/>
                    <a:ext cx="700405" cy="682625"/>
                  </a:xfrm>
                  <a:prstGeom prst="rect">
                    <a:avLst/>
                  </a:prstGeom>
                  <a:ln/>
                </pic:spPr>
              </pic:pic>
            </a:graphicData>
          </a:graphic>
        </wp:anchor>
      </w:drawing>
    </w:r>
  </w:p>
  <w:p w:rsidR="00351147" w:rsidRDefault="00351147">
    <w:pPr>
      <w:pStyle w:val="normal0"/>
      <w:pBdr>
        <w:top w:val="nil"/>
        <w:left w:val="nil"/>
        <w:bottom w:val="nil"/>
        <w:right w:val="nil"/>
        <w:between w:val="nil"/>
      </w:pBdr>
      <w:tabs>
        <w:tab w:val="left" w:pos="7180"/>
      </w:tabs>
      <w:jc w:val="center"/>
      <w:rPr>
        <w:rFonts w:ascii="Arial" w:eastAsia="Arial" w:hAnsi="Arial" w:cs="Arial"/>
        <w:color w:val="000000"/>
      </w:rPr>
    </w:pPr>
  </w:p>
  <w:p w:rsidR="00351147" w:rsidRDefault="00351147">
    <w:pPr>
      <w:pStyle w:val="normal0"/>
      <w:pBdr>
        <w:top w:val="nil"/>
        <w:left w:val="nil"/>
        <w:bottom w:val="nil"/>
        <w:right w:val="nil"/>
        <w:between w:val="nil"/>
      </w:pBdr>
      <w:tabs>
        <w:tab w:val="left" w:pos="7180"/>
      </w:tabs>
      <w:jc w:val="center"/>
      <w:rPr>
        <w:rFonts w:ascii="Arial" w:eastAsia="Arial" w:hAnsi="Arial" w:cs="Arial"/>
        <w:color w:val="000000"/>
      </w:rPr>
    </w:pPr>
  </w:p>
  <w:p w:rsidR="00351147" w:rsidRDefault="004C5EC7">
    <w:pPr>
      <w:pStyle w:val="normal0"/>
      <w:pBdr>
        <w:top w:val="nil"/>
        <w:left w:val="nil"/>
        <w:bottom w:val="nil"/>
        <w:right w:val="nil"/>
        <w:between w:val="nil"/>
      </w:pBdr>
      <w:tabs>
        <w:tab w:val="left" w:pos="7180"/>
      </w:tabs>
      <w:jc w:val="center"/>
      <w:rPr>
        <w:color w:val="000000"/>
      </w:rPr>
    </w:pPr>
    <w:r>
      <w:rPr>
        <w:rFonts w:ascii="Arial" w:eastAsia="Arial" w:hAnsi="Arial" w:cs="Arial"/>
        <w:b/>
        <w:color w:val="000000"/>
      </w:rPr>
      <w:t xml:space="preserve"> MINISTÉRIO DA EDUCAÇÃO</w:t>
    </w:r>
  </w:p>
  <w:p w:rsidR="00351147" w:rsidRDefault="004C5EC7">
    <w:pPr>
      <w:pStyle w:val="norm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SECRETARIA DE EDUCAÇÃO PROFISSIONAL E TECNOLÓGICA</w:t>
    </w:r>
  </w:p>
  <w:p w:rsidR="00351147" w:rsidRDefault="004C5EC7">
    <w:pPr>
      <w:pStyle w:val="norm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INSTITUTO FEDERAL DE EDUCAÇÃO, CIÊNCIA E TECNOLOGIA DO SERTÃO PERNAMBUCANO</w:t>
    </w:r>
  </w:p>
  <w:p w:rsidR="00BD078D" w:rsidRDefault="00E40FF9" w:rsidP="00BD078D">
    <w:pPr>
      <w:pStyle w:val="normal0"/>
      <w:pBdr>
        <w:top w:val="nil"/>
        <w:left w:val="nil"/>
        <w:bottom w:val="nil"/>
        <w:right w:val="nil"/>
        <w:between w:val="nil"/>
      </w:pBdr>
      <w:jc w:val="center"/>
      <w:rPr>
        <w:rFonts w:ascii="Arial" w:eastAsia="Arial" w:hAnsi="Arial" w:cs="Arial"/>
        <w:b/>
        <w:sz w:val="16"/>
        <w:szCs w:val="16"/>
      </w:rPr>
    </w:pPr>
    <w:r w:rsidRPr="00E40FF9">
      <w:rPr>
        <w:rFonts w:ascii="Arial" w:eastAsia="Arial" w:hAnsi="Arial" w:cs="Arial"/>
        <w:b/>
        <w:sz w:val="16"/>
        <w:szCs w:val="16"/>
      </w:rPr>
      <w:t>CAMPUS PETROLINA</w:t>
    </w:r>
  </w:p>
  <w:p w:rsidR="00BD078D" w:rsidRPr="00BD078D" w:rsidRDefault="00BD078D" w:rsidP="00BD078D">
    <w:pPr>
      <w:pStyle w:val="norm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351147"/>
    <w:rsid w:val="00025E16"/>
    <w:rsid w:val="00086AAC"/>
    <w:rsid w:val="000917D3"/>
    <w:rsid w:val="000A14DF"/>
    <w:rsid w:val="000C541D"/>
    <w:rsid w:val="00147507"/>
    <w:rsid w:val="0015107E"/>
    <w:rsid w:val="00153396"/>
    <w:rsid w:val="001A4A07"/>
    <w:rsid w:val="001D68BB"/>
    <w:rsid w:val="00213D06"/>
    <w:rsid w:val="0024000B"/>
    <w:rsid w:val="002A30F4"/>
    <w:rsid w:val="00306422"/>
    <w:rsid w:val="00351147"/>
    <w:rsid w:val="0041507B"/>
    <w:rsid w:val="004455BF"/>
    <w:rsid w:val="004542C6"/>
    <w:rsid w:val="00482BAE"/>
    <w:rsid w:val="004B24B1"/>
    <w:rsid w:val="004C50CA"/>
    <w:rsid w:val="004C5EC7"/>
    <w:rsid w:val="004E6AE5"/>
    <w:rsid w:val="0058148C"/>
    <w:rsid w:val="006313E7"/>
    <w:rsid w:val="006951F9"/>
    <w:rsid w:val="006D5B1E"/>
    <w:rsid w:val="006F1CB5"/>
    <w:rsid w:val="0070184B"/>
    <w:rsid w:val="00712996"/>
    <w:rsid w:val="0075701D"/>
    <w:rsid w:val="008121AC"/>
    <w:rsid w:val="008A2E55"/>
    <w:rsid w:val="008B7AA0"/>
    <w:rsid w:val="008C5B34"/>
    <w:rsid w:val="00902B7C"/>
    <w:rsid w:val="009359D6"/>
    <w:rsid w:val="00995D4A"/>
    <w:rsid w:val="009B1AB7"/>
    <w:rsid w:val="00A257FA"/>
    <w:rsid w:val="00A362A6"/>
    <w:rsid w:val="00AC0684"/>
    <w:rsid w:val="00AC7882"/>
    <w:rsid w:val="00B142F7"/>
    <w:rsid w:val="00B3227E"/>
    <w:rsid w:val="00B67250"/>
    <w:rsid w:val="00B96A3A"/>
    <w:rsid w:val="00BD078D"/>
    <w:rsid w:val="00C36BF9"/>
    <w:rsid w:val="00C6442C"/>
    <w:rsid w:val="00C64446"/>
    <w:rsid w:val="00CA0C5D"/>
    <w:rsid w:val="00DA335F"/>
    <w:rsid w:val="00E40FF9"/>
    <w:rsid w:val="00F7301D"/>
    <w:rsid w:val="00FA1FB2"/>
    <w:rsid w:val="00FB3B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1D"/>
  </w:style>
  <w:style w:type="paragraph" w:styleId="Ttulo1">
    <w:name w:val="heading 1"/>
    <w:basedOn w:val="normal0"/>
    <w:next w:val="normal0"/>
    <w:rsid w:val="00351147"/>
    <w:pPr>
      <w:keepNext/>
      <w:keepLines/>
      <w:spacing w:before="480" w:after="120"/>
      <w:outlineLvl w:val="0"/>
    </w:pPr>
    <w:rPr>
      <w:b/>
      <w:sz w:val="48"/>
      <w:szCs w:val="48"/>
    </w:rPr>
  </w:style>
  <w:style w:type="paragraph" w:styleId="Ttulo2">
    <w:name w:val="heading 2"/>
    <w:basedOn w:val="normal0"/>
    <w:next w:val="normal0"/>
    <w:rsid w:val="00351147"/>
    <w:pPr>
      <w:keepNext/>
      <w:keepLines/>
      <w:spacing w:before="360" w:after="80"/>
      <w:outlineLvl w:val="1"/>
    </w:pPr>
    <w:rPr>
      <w:b/>
      <w:sz w:val="36"/>
      <w:szCs w:val="36"/>
    </w:rPr>
  </w:style>
  <w:style w:type="paragraph" w:styleId="Ttulo3">
    <w:name w:val="heading 3"/>
    <w:basedOn w:val="normal0"/>
    <w:next w:val="normal0"/>
    <w:rsid w:val="00351147"/>
    <w:pPr>
      <w:keepNext/>
      <w:keepLines/>
      <w:spacing w:before="280" w:after="80"/>
      <w:outlineLvl w:val="2"/>
    </w:pPr>
    <w:rPr>
      <w:b/>
      <w:sz w:val="28"/>
      <w:szCs w:val="28"/>
    </w:rPr>
  </w:style>
  <w:style w:type="paragraph" w:styleId="Ttulo4">
    <w:name w:val="heading 4"/>
    <w:basedOn w:val="normal0"/>
    <w:next w:val="normal0"/>
    <w:rsid w:val="00351147"/>
    <w:pPr>
      <w:keepNext/>
      <w:keepLines/>
      <w:spacing w:before="240" w:after="40"/>
      <w:outlineLvl w:val="3"/>
    </w:pPr>
    <w:rPr>
      <w:b/>
    </w:rPr>
  </w:style>
  <w:style w:type="paragraph" w:styleId="Ttulo5">
    <w:name w:val="heading 5"/>
    <w:basedOn w:val="normal0"/>
    <w:next w:val="normal0"/>
    <w:rsid w:val="00351147"/>
    <w:pPr>
      <w:keepNext/>
      <w:keepLines/>
      <w:spacing w:before="220" w:after="40"/>
      <w:outlineLvl w:val="4"/>
    </w:pPr>
    <w:rPr>
      <w:b/>
      <w:sz w:val="22"/>
      <w:szCs w:val="22"/>
    </w:rPr>
  </w:style>
  <w:style w:type="paragraph" w:styleId="Ttulo6">
    <w:name w:val="heading 6"/>
    <w:basedOn w:val="normal0"/>
    <w:next w:val="normal0"/>
    <w:rsid w:val="0035114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51147"/>
  </w:style>
  <w:style w:type="table" w:customStyle="1" w:styleId="TableNormal">
    <w:name w:val="Table Normal"/>
    <w:rsid w:val="00351147"/>
    <w:tblPr>
      <w:tblCellMar>
        <w:top w:w="0" w:type="dxa"/>
        <w:left w:w="0" w:type="dxa"/>
        <w:bottom w:w="0" w:type="dxa"/>
        <w:right w:w="0" w:type="dxa"/>
      </w:tblCellMar>
    </w:tblPr>
  </w:style>
  <w:style w:type="paragraph" w:styleId="Ttulo">
    <w:name w:val="Title"/>
    <w:basedOn w:val="normal0"/>
    <w:next w:val="normal0"/>
    <w:rsid w:val="00351147"/>
    <w:pPr>
      <w:keepNext/>
      <w:keepLines/>
      <w:spacing w:before="480" w:after="120"/>
    </w:pPr>
    <w:rPr>
      <w:b/>
      <w:sz w:val="72"/>
      <w:szCs w:val="72"/>
    </w:rPr>
  </w:style>
  <w:style w:type="paragraph" w:styleId="Subttulo">
    <w:name w:val="Subtitle"/>
    <w:basedOn w:val="normal0"/>
    <w:next w:val="normal0"/>
    <w:rsid w:val="00351147"/>
    <w:pPr>
      <w:keepNext/>
      <w:keepLines/>
      <w:spacing w:before="360" w:after="80"/>
    </w:pPr>
    <w:rPr>
      <w:rFonts w:ascii="Georgia" w:eastAsia="Georgia" w:hAnsi="Georgia" w:cs="Georgia"/>
      <w:i/>
      <w:color w:val="666666"/>
      <w:sz w:val="48"/>
      <w:szCs w:val="48"/>
    </w:rPr>
  </w:style>
  <w:style w:type="table" w:customStyle="1" w:styleId="a">
    <w:basedOn w:val="TableNormal"/>
    <w:rsid w:val="00351147"/>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semiHidden/>
    <w:unhideWhenUsed/>
    <w:rsid w:val="00E40FF9"/>
    <w:pPr>
      <w:tabs>
        <w:tab w:val="center" w:pos="4252"/>
        <w:tab w:val="right" w:pos="8504"/>
      </w:tabs>
    </w:pPr>
  </w:style>
  <w:style w:type="character" w:customStyle="1" w:styleId="CabealhoChar">
    <w:name w:val="Cabeçalho Char"/>
    <w:basedOn w:val="Fontepargpadro"/>
    <w:link w:val="Cabealho"/>
    <w:uiPriority w:val="99"/>
    <w:semiHidden/>
    <w:rsid w:val="00E40FF9"/>
  </w:style>
  <w:style w:type="paragraph" w:styleId="Rodap">
    <w:name w:val="footer"/>
    <w:basedOn w:val="Normal"/>
    <w:link w:val="RodapChar"/>
    <w:uiPriority w:val="99"/>
    <w:semiHidden/>
    <w:unhideWhenUsed/>
    <w:rsid w:val="00E40FF9"/>
    <w:pPr>
      <w:tabs>
        <w:tab w:val="center" w:pos="4252"/>
        <w:tab w:val="right" w:pos="8504"/>
      </w:tabs>
    </w:pPr>
  </w:style>
  <w:style w:type="character" w:customStyle="1" w:styleId="RodapChar">
    <w:name w:val="Rodapé Char"/>
    <w:basedOn w:val="Fontepargpadro"/>
    <w:link w:val="Rodap"/>
    <w:uiPriority w:val="99"/>
    <w:semiHidden/>
    <w:rsid w:val="00E40FF9"/>
  </w:style>
  <w:style w:type="paragraph" w:styleId="Textodebalo">
    <w:name w:val="Balloon Text"/>
    <w:basedOn w:val="Normal"/>
    <w:link w:val="TextodebaloChar"/>
    <w:uiPriority w:val="99"/>
    <w:semiHidden/>
    <w:unhideWhenUsed/>
    <w:rsid w:val="008B7AA0"/>
    <w:rPr>
      <w:rFonts w:ascii="Tahoma" w:hAnsi="Tahoma" w:cs="Tahoma"/>
      <w:sz w:val="16"/>
      <w:szCs w:val="16"/>
    </w:rPr>
  </w:style>
  <w:style w:type="character" w:customStyle="1" w:styleId="TextodebaloChar">
    <w:name w:val="Texto de balão Char"/>
    <w:basedOn w:val="Fontepargpadro"/>
    <w:link w:val="Textodebalo"/>
    <w:uiPriority w:val="99"/>
    <w:semiHidden/>
    <w:rsid w:val="008B7AA0"/>
    <w:rPr>
      <w:rFonts w:ascii="Tahoma" w:hAnsi="Tahoma" w:cs="Tahoma"/>
      <w:sz w:val="16"/>
      <w:szCs w:val="16"/>
    </w:rPr>
  </w:style>
  <w:style w:type="paragraph" w:customStyle="1" w:styleId="Standard">
    <w:name w:val="Standard"/>
    <w:rsid w:val="00213D06"/>
    <w:pPr>
      <w:suppressAutoHyphens/>
      <w:autoSpaceDN w:val="0"/>
      <w:textAlignment w:val="baseline"/>
    </w:pPr>
    <w:rPr>
      <w:rFonts w:eastAsia="SimSun" w:cs="Mangal"/>
      <w:kern w:val="3"/>
      <w:lang w:eastAsia="zh-CN" w:bidi="hi-IN"/>
    </w:rPr>
  </w:style>
  <w:style w:type="paragraph" w:customStyle="1" w:styleId="TableContents">
    <w:name w:val="Table Contents"/>
    <w:basedOn w:val="Standard"/>
    <w:rsid w:val="00213D06"/>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724</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Helia</cp:lastModifiedBy>
  <cp:revision>38</cp:revision>
  <dcterms:created xsi:type="dcterms:W3CDTF">2020-07-31T13:25:00Z</dcterms:created>
  <dcterms:modified xsi:type="dcterms:W3CDTF">2020-08-20T17:18:00Z</dcterms:modified>
</cp:coreProperties>
</file>